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3754"/>
        <w:gridCol w:w="966"/>
        <w:gridCol w:w="2811"/>
      </w:tblGrid>
      <w:tr w14:paraId="00C4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3" w:hRule="atLeast"/>
        </w:trPr>
        <w:tc>
          <w:tcPr>
            <w:tcW w:w="9451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4568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1B72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451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634D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23C2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22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00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254DF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大型泵排涝站运行维护管理政府购买服务项目</w:t>
            </w:r>
            <w:bookmarkEnd w:id="0"/>
          </w:p>
        </w:tc>
      </w:tr>
      <w:tr w14:paraId="0FCA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329C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87E62F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淮南市水利局109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001</w:t>
            </w:r>
          </w:p>
        </w:tc>
        <w:tc>
          <w:tcPr>
            <w:tcW w:w="966" w:type="dxa"/>
            <w:tcBorders>
              <w:tl2br w:val="nil"/>
              <w:tr2bl w:val="nil"/>
            </w:tcBorders>
            <w:noWrap w:val="0"/>
            <w:vAlign w:val="center"/>
          </w:tcPr>
          <w:p w14:paraId="3CB9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811" w:type="dxa"/>
            <w:tcBorders>
              <w:tl2br w:val="nil"/>
              <w:tr2bl w:val="nil"/>
            </w:tcBorders>
            <w:noWrap w:val="0"/>
            <w:vAlign w:val="center"/>
          </w:tcPr>
          <w:p w14:paraId="6F1BE629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淮南市水利局</w:t>
            </w:r>
          </w:p>
        </w:tc>
      </w:tr>
      <w:tr w14:paraId="343C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C5B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323735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上年延续项目</w:t>
            </w:r>
          </w:p>
        </w:tc>
        <w:tc>
          <w:tcPr>
            <w:tcW w:w="966" w:type="dxa"/>
            <w:tcBorders>
              <w:tl2br w:val="nil"/>
              <w:tr2bl w:val="nil"/>
            </w:tcBorders>
            <w:noWrap w:val="0"/>
            <w:vAlign w:val="center"/>
          </w:tcPr>
          <w:p w14:paraId="7579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811" w:type="dxa"/>
            <w:tcBorders>
              <w:tl2br w:val="nil"/>
              <w:tr2bl w:val="nil"/>
            </w:tcBorders>
            <w:noWrap w:val="0"/>
            <w:vAlign w:val="center"/>
          </w:tcPr>
          <w:p w14:paraId="26E5483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2026年</w:t>
            </w:r>
          </w:p>
        </w:tc>
      </w:tr>
      <w:tr w14:paraId="4939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9B5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739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E2A17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764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万元</w:t>
            </w:r>
          </w:p>
        </w:tc>
      </w:tr>
      <w:tr w14:paraId="7EA6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F5BF8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29E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F47B3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764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万元</w:t>
            </w:r>
          </w:p>
        </w:tc>
      </w:tr>
      <w:tr w14:paraId="40A8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869234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6A8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2C3B76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5224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75E45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423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31C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5413C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3CC1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023BA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9013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629455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按照项目合同的要求开展泵站西淝河泵站、高塘湖排涝站运行管理维护项目：完成采购项目的各项内容，投入人材机和管理软成本，按考核结果支付进度款，完成预算764万元。</w:t>
            </w:r>
          </w:p>
        </w:tc>
      </w:tr>
      <w:tr w14:paraId="0C11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82B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702C8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0B2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025F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43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0189D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90284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1C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601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35EE9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指标1：确保大型泵站西淝河泵站、高塘湖排涝站正常运行管理维护，确保机组功能完好。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tbl>
            <w:tblPr>
              <w:tblStyle w:val="2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0341CB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tcBorders>
                    <w:bottom w:val="nil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top"/>
                </w:tcPr>
                <w:p w14:paraId="08C6892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两座大型泵站100%完成日常运行维护</w:t>
                  </w:r>
                </w:p>
                <w:p w14:paraId="51C04D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工作。≥98%（功能完好机组数/总台</w:t>
                  </w:r>
                </w:p>
                <w:p w14:paraId="779A02B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0"/>
                      <w:szCs w:val="20"/>
                      <w:u w:val="none"/>
                      <w:lang w:val="en-US" w:eastAsia="zh-CN" w:bidi="ar"/>
                    </w:rPr>
                    <w:t>数）。</w:t>
                  </w:r>
                </w:p>
              </w:tc>
            </w:tr>
          </w:tbl>
          <w:p w14:paraId="76E2A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43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15E00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A586D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6D9D11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6EC04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指标2：确保有效排除西淝河流域内涝和高塘湖流域内涝，并兼顾引江济淮北上输水重要任务，完成全年防汛抗旱抽排任务                                                                   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A3F9C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100%完成年度调水防汛任务（≥13次）</w:t>
            </w:r>
          </w:p>
        </w:tc>
      </w:tr>
      <w:tr w14:paraId="7ED8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4C8A2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52C07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AD0F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4524E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水利部关于泵站运行管理的规范标准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F66A3C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</w:tr>
      <w:tr w14:paraId="1B5D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261CF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A3C89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ADD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307A1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考核办法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8F2074">
            <w:pPr>
              <w:jc w:val="left"/>
              <w:rPr>
                <w:rFonts w:hint="default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合格以上</w:t>
            </w:r>
          </w:p>
        </w:tc>
      </w:tr>
      <w:tr w14:paraId="7490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37890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7BAE3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94F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0713E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项目实施时间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92E3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2026年3月—2027年3月</w:t>
            </w:r>
          </w:p>
        </w:tc>
      </w:tr>
      <w:tr w14:paraId="1F3E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46C2E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AA299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5DA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50506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项目支出总成本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6F33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≤764万元</w:t>
            </w:r>
          </w:p>
        </w:tc>
      </w:tr>
      <w:tr w14:paraId="13E50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DB3A58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640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7D6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5EC4D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项目区保护范围内有效排除内涝，并兼顾引江济淮北上输水重要任务。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8E05E0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显著</w:t>
            </w:r>
          </w:p>
        </w:tc>
      </w:tr>
      <w:tr w14:paraId="1276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FF8FD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55528A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6CB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67143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保护范围内有效排除内涝，确保保护区内各市县区域社会经济正常发展，人民安居乐业。                                                                   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327D7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显著</w:t>
            </w:r>
          </w:p>
        </w:tc>
      </w:tr>
      <w:tr w14:paraId="70366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CCDB5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A0B59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C1D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6DC50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控制水位，保证排涝灌溉区内生态环境用水，确保绿化用水和环境用水。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9FA454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明显</w:t>
            </w:r>
          </w:p>
        </w:tc>
      </w:tr>
      <w:tr w14:paraId="3B482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592697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4BF2B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5D5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0FBCA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提升灾害防御能力，科学发展经济，以水量定发展，维护人民群众切身利益，为地方可持续发展提供坚实保障。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B0F468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明显</w:t>
            </w:r>
          </w:p>
        </w:tc>
      </w:tr>
      <w:tr w14:paraId="7AAA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2F3A7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7C351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142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满意度指标</w:t>
            </w:r>
          </w:p>
        </w:tc>
        <w:tc>
          <w:tcPr>
            <w:tcW w:w="3754" w:type="dxa"/>
            <w:tcBorders>
              <w:tl2br w:val="nil"/>
              <w:tr2bl w:val="nil"/>
            </w:tcBorders>
            <w:noWrap w:val="0"/>
            <w:vAlign w:val="center"/>
          </w:tcPr>
          <w:p w14:paraId="633D7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377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5AB152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≥90%</w:t>
            </w:r>
          </w:p>
        </w:tc>
      </w:tr>
    </w:tbl>
    <w:p w14:paraId="17136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汉仪中秀体简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kNWEwNDA2YWI3Mzk5NWE5NTU5YzQ2MmU1NmJjOGEifQ=="/>
  </w:docVars>
  <w:rsids>
    <w:rsidRoot w:val="6F771660"/>
    <w:rsid w:val="02C44E8F"/>
    <w:rsid w:val="120C065F"/>
    <w:rsid w:val="23171A29"/>
    <w:rsid w:val="30F23A67"/>
    <w:rsid w:val="42CB6ADC"/>
    <w:rsid w:val="462B267F"/>
    <w:rsid w:val="4DC338A0"/>
    <w:rsid w:val="4F912C96"/>
    <w:rsid w:val="54414E0F"/>
    <w:rsid w:val="55EC2B85"/>
    <w:rsid w:val="6F7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ff160a6d-cca4-4cbb-9b44-00b3171fcb0b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46294554</paraID>
      <start>33</start>
      <end>34</end>
      <status>modified</status>
      <modifiedWord>：</modifiedWord>
      <trackRevisions>false</trackRevisions>
    </reviewItem>
    <reviewItem>
      <errorID>66a1dcfe-fed6-42d8-a953-3c22597b6e77</errorID>
      <errorWord>万</errorWord>
      <group>L1_Word</group>
      <groupName>字词问题</groupName>
      <ability>L2_Typo</ability>
      <abilityName>字词错误</abilityName>
      <candidateList>
        <item>万元</item>
      </candidateList>
      <explain/>
      <paraID>46294554</paraID>
      <start>76</start>
      <end>78</end>
      <status>modified</status>
      <modifiedWord>万元</modifiedWord>
      <trackRevisions>false</trackRevisions>
    </reviewItem>
    <reviewItem>
      <errorID>e1efa062-6658-4ed7-9416-36046f6b3678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7592E347</paraID>
      <start>7</start>
      <end>8</end>
      <status>modified</status>
      <modifiedWord>—</modifiedWord>
      <trackRevisions>false</trackRevisions>
    </reviewItem>
    <reviewItem>
      <errorID>a37a6c9b-aee3-40d7-96dd-ff3b0785139e</errorID>
      <errorWord>区胡</errorWord>
      <group>L1_Word</group>
      <groupName>字词问题</groupName>
      <ability>L2_Typo</ability>
      <abilityName>字词错误</abilityName>
      <candidateList>
        <item>区域</item>
      </candidateList>
      <explain>存在发音相近字词的误用。</explain>
      <paraID>671433A0</paraID>
      <start>42</start>
      <end>44</end>
      <status>modified</status>
      <modifiedWord>区域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ec90b37-27f2-4c12-8630-81fd4876ed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1010</Characters>
  <Lines>0</Lines>
  <Paragraphs>0</Paragraphs>
  <TotalTime>3</TotalTime>
  <ScaleCrop>false</ScaleCrop>
  <LinksUpToDate>false</LinksUpToDate>
  <CharactersWithSpaces>1204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2024-02-19T08:49:00Z</dcterms:created>
  <dc:creator>胡晓茜</dc:creator>
  <cp:lastModifiedBy>胡晓茜</cp:lastModifiedBy>
  <cp:lastPrinted>2025-11-24T06:31:25Z</cp:lastPrinted>
  <dcterms:modified xsi:type="dcterms:W3CDTF">2025-11-24T06:34:40Z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DDBF999C9A434224898D9DB1D3665AAE_13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