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7789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2C2729CB">
            <w:pPr>
              <w:keepNext w:val="0"/>
              <w:keepLines w:val="0"/>
              <w:widowControl/>
              <w:suppressLineNumbers w:val="0"/>
              <w:jc w:val="center"/>
              <w:textAlignment w:val="center"/>
              <w:rPr>
                <w:rFonts w:hint="default" w:ascii="TimesNewRoman" w:hAnsi="TimesNewRoman" w:cs="TimesNewRoman"/>
                <w:b/>
                <w:bCs/>
                <w:color w:val="000000"/>
                <w:szCs w:val="32"/>
                <w:highlight w:val="none"/>
              </w:rPr>
            </w:pPr>
            <w:r>
              <w:rPr>
                <w:rFonts w:hint="default" w:ascii="TimesNewRoman" w:hAnsi="TimesNewRoman" w:eastAsia="宋体" w:cs="TimesNewRoman"/>
                <w:b/>
                <w:i w:val="0"/>
                <w:color w:val="000000"/>
                <w:kern w:val="0"/>
                <w:sz w:val="28"/>
                <w:szCs w:val="28"/>
                <w:highlight w:val="none"/>
                <w:u w:val="none"/>
                <w:lang w:val="en-US" w:eastAsia="zh-CN" w:bidi="ar"/>
              </w:rPr>
              <w:t>项目支出绩效目标表</w:t>
            </w:r>
          </w:p>
        </w:tc>
      </w:tr>
      <w:tr w14:paraId="0630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571039D6">
            <w:pPr>
              <w:keepNext w:val="0"/>
              <w:keepLines w:val="0"/>
              <w:widowControl/>
              <w:suppressLineNumbers w:val="0"/>
              <w:jc w:val="center"/>
              <w:textAlignment w:val="center"/>
              <w:rPr>
                <w:rFonts w:hint="default" w:ascii="TimesNewRoman" w:hAnsi="TimesNewRoman" w:cs="TimesNewRoman"/>
                <w:color w:val="000000"/>
                <w:sz w:val="20"/>
                <w:highlight w:val="none"/>
              </w:rPr>
            </w:pPr>
            <w:r>
              <w:rPr>
                <w:rFonts w:hint="default" w:ascii="TimesNewRoman" w:hAnsi="TimesNewRoman" w:eastAsia="宋体" w:cs="TimesNewRoman"/>
                <w:i w:val="0"/>
                <w:color w:val="000000"/>
                <w:kern w:val="0"/>
                <w:sz w:val="20"/>
                <w:szCs w:val="20"/>
                <w:highlight w:val="none"/>
                <w:u w:val="none"/>
                <w:lang w:val="en-US" w:eastAsia="zh-CN" w:bidi="ar"/>
              </w:rPr>
              <w:t xml:space="preserve"> （</w:t>
            </w:r>
            <w:r>
              <w:rPr>
                <w:rFonts w:hint="default" w:ascii="TimesNewRoman" w:hAnsi="TimesNewRoman" w:eastAsia="宋体" w:cs="TimesNewRoman"/>
                <w:i w:val="0"/>
                <w:color w:val="000000"/>
                <w:kern w:val="0"/>
                <w:sz w:val="20"/>
                <w:szCs w:val="20"/>
                <w:highlight w:val="none"/>
                <w:u w:val="none"/>
                <w:lang w:val="en" w:eastAsia="zh-CN" w:bidi="ar"/>
              </w:rPr>
              <w:t>202</w:t>
            </w:r>
            <w:r>
              <w:rPr>
                <w:rFonts w:hint="eastAsia" w:ascii="TimesNewRoman" w:hAnsi="TimesNewRoman" w:eastAsia="宋体" w:cs="TimesNewRoman"/>
                <w:i w:val="0"/>
                <w:color w:val="000000"/>
                <w:kern w:val="0"/>
                <w:sz w:val="20"/>
                <w:szCs w:val="20"/>
                <w:highlight w:val="none"/>
                <w:u w:val="none"/>
                <w:lang w:val="en-US" w:eastAsia="zh-CN" w:bidi="ar"/>
              </w:rPr>
              <w:t>6</w:t>
            </w:r>
            <w:r>
              <w:rPr>
                <w:rFonts w:hint="default" w:ascii="TimesNewRoman" w:hAnsi="TimesNewRoman" w:eastAsia="宋体" w:cs="TimesNewRoman"/>
                <w:i w:val="0"/>
                <w:color w:val="000000"/>
                <w:kern w:val="0"/>
                <w:sz w:val="20"/>
                <w:szCs w:val="20"/>
                <w:highlight w:val="none"/>
                <w:u w:val="none"/>
                <w:lang w:val="en-US" w:eastAsia="zh-CN" w:bidi="ar"/>
              </w:rPr>
              <w:t xml:space="preserve">年度）                                </w:t>
            </w:r>
          </w:p>
        </w:tc>
      </w:tr>
      <w:tr w14:paraId="1772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18344919">
            <w:pPr>
              <w:keepNext w:val="0"/>
              <w:keepLines w:val="0"/>
              <w:widowControl/>
              <w:suppressLineNumbers w:val="0"/>
              <w:jc w:val="center"/>
              <w:textAlignment w:val="center"/>
              <w:rPr>
                <w:rFonts w:hint="default" w:ascii="TimesNewRoman" w:hAnsi="TimesNewRoman" w:cs="TimesNewRoman"/>
                <w:color w:val="000000"/>
                <w:sz w:val="20"/>
                <w:highlight w:val="none"/>
              </w:rPr>
            </w:pPr>
            <w:r>
              <w:rPr>
                <w:rFonts w:hint="default" w:ascii="TimesNewRoman" w:hAnsi="TimesNewRoman" w:eastAsia="宋体" w:cs="TimesNewRoman"/>
                <w:i w:val="0"/>
                <w:color w:val="000000"/>
                <w:kern w:val="0"/>
                <w:sz w:val="20"/>
                <w:szCs w:val="20"/>
                <w:highlight w:val="none"/>
                <w:u w:val="none"/>
                <w:lang w:val="en-US" w:eastAsia="zh-CN" w:bidi="ar"/>
              </w:rPr>
              <w:t>项目名称</w:t>
            </w:r>
          </w:p>
        </w:tc>
        <w:tc>
          <w:tcPr>
            <w:tcW w:w="7577" w:type="dxa"/>
            <w:gridSpan w:val="4"/>
            <w:tcBorders>
              <w:tl2br w:val="nil"/>
              <w:tr2bl w:val="nil"/>
            </w:tcBorders>
            <w:noWrap w:val="0"/>
            <w:vAlign w:val="center"/>
          </w:tcPr>
          <w:p w14:paraId="6AE00623">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rPr>
              <w:t>水土保持建设项目、水土保持方案报告评审和验收核查专项经费</w:t>
            </w:r>
          </w:p>
        </w:tc>
      </w:tr>
      <w:tr w14:paraId="0DDE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tcBorders>
              <w:tl2br w:val="nil"/>
              <w:tr2bl w:val="nil"/>
            </w:tcBorders>
            <w:noWrap w:val="0"/>
            <w:vAlign w:val="center"/>
          </w:tcPr>
          <w:p w14:paraId="3A83A3F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NewRoman" w:hAnsi="TimesNewRoman" w:cs="TimesNewRoman"/>
                <w:color w:val="000000"/>
                <w:sz w:val="20"/>
                <w:highlight w:val="none"/>
              </w:rPr>
            </w:pPr>
            <w:r>
              <w:rPr>
                <w:rFonts w:hint="default" w:ascii="TimesNewRoman" w:hAnsi="TimesNewRoman" w:eastAsia="宋体" w:cs="TimesNewRoman"/>
                <w:i w:val="0"/>
                <w:color w:val="000000"/>
                <w:kern w:val="0"/>
                <w:sz w:val="20"/>
                <w:szCs w:val="20"/>
                <w:highlight w:val="none"/>
                <w:u w:val="none"/>
                <w:lang w:val="en-US" w:eastAsia="zh-CN" w:bidi="ar"/>
              </w:rPr>
              <w:t>主管部门   及代码</w:t>
            </w:r>
          </w:p>
        </w:tc>
        <w:tc>
          <w:tcPr>
            <w:tcW w:w="3349" w:type="dxa"/>
            <w:gridSpan w:val="2"/>
            <w:tcBorders>
              <w:tl2br w:val="nil"/>
              <w:tr2bl w:val="nil"/>
            </w:tcBorders>
            <w:noWrap w:val="0"/>
            <w:vAlign w:val="center"/>
          </w:tcPr>
          <w:p w14:paraId="5F9B3890">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rPr>
              <w:t>淮南市水利局109001</w:t>
            </w:r>
          </w:p>
        </w:tc>
        <w:tc>
          <w:tcPr>
            <w:tcW w:w="1848" w:type="dxa"/>
            <w:tcBorders>
              <w:tl2br w:val="nil"/>
              <w:tr2bl w:val="nil"/>
            </w:tcBorders>
            <w:noWrap w:val="0"/>
            <w:vAlign w:val="center"/>
          </w:tcPr>
          <w:p w14:paraId="4DCC1E15">
            <w:pPr>
              <w:keepNext w:val="0"/>
              <w:keepLines w:val="0"/>
              <w:widowControl/>
              <w:suppressLineNumbers w:val="0"/>
              <w:jc w:val="center"/>
              <w:textAlignment w:val="center"/>
              <w:rPr>
                <w:rFonts w:hint="eastAsia" w:ascii="宋体" w:hAnsi="宋体" w:eastAsia="宋体" w:cs="宋体"/>
                <w:color w:val="000000"/>
                <w:highlight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380" w:type="dxa"/>
            <w:tcBorders>
              <w:tl2br w:val="nil"/>
              <w:tr2bl w:val="nil"/>
            </w:tcBorders>
            <w:noWrap w:val="0"/>
            <w:vAlign w:val="center"/>
          </w:tcPr>
          <w:p w14:paraId="06BDBB28">
            <w:pPr>
              <w:jc w:val="center"/>
              <w:rPr>
                <w:rFonts w:hint="eastAsia" w:ascii="宋体" w:hAnsi="宋体" w:eastAsia="宋体" w:cs="宋体"/>
                <w:color w:val="000000"/>
                <w:highlight w:val="none"/>
              </w:rPr>
            </w:pPr>
            <w:r>
              <w:rPr>
                <w:rFonts w:hint="eastAsia" w:ascii="宋体" w:hAnsi="宋体" w:eastAsia="宋体" w:cs="宋体"/>
                <w:color w:val="000000"/>
                <w:sz w:val="20"/>
                <w:highlight w:val="none"/>
                <w:lang w:eastAsia="zh-CN"/>
              </w:rPr>
              <w:t>市水利局</w:t>
            </w:r>
          </w:p>
        </w:tc>
      </w:tr>
      <w:tr w14:paraId="20DD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59D78409">
            <w:pPr>
              <w:keepNext w:val="0"/>
              <w:keepLines w:val="0"/>
              <w:widowControl/>
              <w:suppressLineNumbers w:val="0"/>
              <w:jc w:val="center"/>
              <w:textAlignment w:val="center"/>
              <w:rPr>
                <w:rFonts w:hint="default" w:ascii="TimesNewRoman" w:hAnsi="TimesNewRoman" w:cs="TimesNewRoman"/>
                <w:color w:val="000000"/>
                <w:sz w:val="20"/>
                <w:highlight w:val="none"/>
              </w:rPr>
            </w:pPr>
            <w:r>
              <w:rPr>
                <w:rFonts w:hint="default" w:ascii="TimesNewRoman" w:hAnsi="TimesNewRoman" w:eastAsia="宋体" w:cs="TimesNewRoman"/>
                <w:i w:val="0"/>
                <w:color w:val="000000"/>
                <w:kern w:val="0"/>
                <w:sz w:val="20"/>
                <w:szCs w:val="20"/>
                <w:highlight w:val="none"/>
                <w:u w:val="none"/>
                <w:lang w:val="en-US" w:eastAsia="zh-CN" w:bidi="ar"/>
              </w:rPr>
              <w:t>项目来源</w:t>
            </w:r>
          </w:p>
        </w:tc>
        <w:tc>
          <w:tcPr>
            <w:tcW w:w="3349" w:type="dxa"/>
            <w:gridSpan w:val="2"/>
            <w:tcBorders>
              <w:tl2br w:val="nil"/>
              <w:tr2bl w:val="nil"/>
            </w:tcBorders>
            <w:noWrap w:val="0"/>
            <w:vAlign w:val="center"/>
          </w:tcPr>
          <w:p w14:paraId="264FF25C">
            <w:pPr>
              <w:jc w:val="center"/>
              <w:rPr>
                <w:rFonts w:hint="eastAsia" w:ascii="宋体" w:hAnsi="宋体" w:eastAsia="宋体" w:cs="宋体"/>
                <w:color w:val="000000"/>
                <w:sz w:val="20"/>
                <w:highlight w:val="none"/>
              </w:rPr>
            </w:pPr>
          </w:p>
        </w:tc>
        <w:tc>
          <w:tcPr>
            <w:tcW w:w="1848" w:type="dxa"/>
            <w:tcBorders>
              <w:tl2br w:val="nil"/>
              <w:tr2bl w:val="nil"/>
            </w:tcBorders>
            <w:noWrap w:val="0"/>
            <w:vAlign w:val="center"/>
          </w:tcPr>
          <w:p w14:paraId="2D35621B">
            <w:pPr>
              <w:keepNext w:val="0"/>
              <w:keepLines w:val="0"/>
              <w:widowControl/>
              <w:suppressLineNumbers w:val="0"/>
              <w:jc w:val="center"/>
              <w:textAlignment w:val="center"/>
              <w:rPr>
                <w:rFonts w:hint="eastAsia" w:ascii="宋体" w:hAnsi="宋体" w:eastAsia="宋体" w:cs="宋体"/>
                <w:color w:val="000000"/>
                <w:highlight w:val="none"/>
              </w:rPr>
            </w:pPr>
            <w:r>
              <w:rPr>
                <w:rFonts w:hint="eastAsia" w:ascii="宋体" w:hAnsi="宋体" w:eastAsia="宋体" w:cs="宋体"/>
                <w:i w:val="0"/>
                <w:color w:val="000000"/>
                <w:kern w:val="0"/>
                <w:sz w:val="20"/>
                <w:szCs w:val="20"/>
                <w:highlight w:val="none"/>
                <w:u w:val="none"/>
                <w:lang w:val="en-US" w:eastAsia="zh-CN" w:bidi="ar"/>
              </w:rPr>
              <w:t>项目期</w:t>
            </w:r>
          </w:p>
        </w:tc>
        <w:tc>
          <w:tcPr>
            <w:tcW w:w="2380" w:type="dxa"/>
            <w:tcBorders>
              <w:tl2br w:val="nil"/>
              <w:tr2bl w:val="nil"/>
            </w:tcBorders>
            <w:noWrap w:val="0"/>
            <w:vAlign w:val="center"/>
          </w:tcPr>
          <w:p w14:paraId="1B0B5DC6">
            <w:pPr>
              <w:jc w:val="center"/>
              <w:rPr>
                <w:rFonts w:hint="eastAsia" w:ascii="宋体" w:hAnsi="宋体" w:eastAsia="宋体" w:cs="宋体"/>
                <w:color w:val="000000"/>
                <w:highlight w:val="none"/>
                <w:lang w:val="en-US" w:eastAsia="zh-CN"/>
              </w:rPr>
            </w:pPr>
            <w:r>
              <w:rPr>
                <w:rFonts w:hint="eastAsia" w:ascii="宋体" w:hAnsi="宋体" w:eastAsia="宋体" w:cs="宋体"/>
                <w:i w:val="0"/>
                <w:color w:val="000000"/>
                <w:kern w:val="0"/>
                <w:sz w:val="20"/>
                <w:szCs w:val="20"/>
                <w:highlight w:val="none"/>
                <w:u w:val="none"/>
                <w:lang w:val="en" w:eastAsia="zh-CN" w:bidi="ar"/>
              </w:rPr>
              <w:t>2025</w:t>
            </w:r>
            <w:r>
              <w:rPr>
                <w:rFonts w:hint="eastAsia" w:ascii="宋体" w:hAnsi="宋体" w:eastAsia="宋体" w:cs="宋体"/>
                <w:i w:val="0"/>
                <w:color w:val="000000"/>
                <w:kern w:val="0"/>
                <w:sz w:val="20"/>
                <w:szCs w:val="20"/>
                <w:highlight w:val="none"/>
                <w:u w:val="none"/>
                <w:lang w:val="en-US" w:eastAsia="zh-CN" w:bidi="ar"/>
              </w:rPr>
              <w:t>年</w:t>
            </w:r>
          </w:p>
        </w:tc>
      </w:tr>
      <w:tr w14:paraId="7F5A6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tcBorders>
              <w:tl2br w:val="nil"/>
              <w:tr2bl w:val="nil"/>
            </w:tcBorders>
            <w:noWrap w:val="0"/>
            <w:vAlign w:val="center"/>
          </w:tcPr>
          <w:p w14:paraId="571202A9">
            <w:pPr>
              <w:keepNext w:val="0"/>
              <w:keepLines w:val="0"/>
              <w:widowControl/>
              <w:suppressLineNumbers w:val="0"/>
              <w:jc w:val="center"/>
              <w:textAlignment w:val="center"/>
              <w:rPr>
                <w:rFonts w:hint="default" w:ascii="TimesNewRoman" w:hAnsi="TimesNewRoman" w:cs="TimesNewRoman"/>
                <w:color w:val="000000"/>
                <w:sz w:val="20"/>
                <w:highlight w:val="none"/>
              </w:rPr>
            </w:pPr>
            <w:r>
              <w:rPr>
                <w:rFonts w:hint="default" w:ascii="TimesNewRoman" w:hAnsi="TimesNewRoman" w:eastAsia="宋体" w:cs="TimesNewRoman"/>
                <w:i w:val="0"/>
                <w:color w:val="000000"/>
                <w:kern w:val="0"/>
                <w:sz w:val="20"/>
                <w:szCs w:val="20"/>
                <w:highlight w:val="none"/>
                <w:u w:val="none"/>
                <w:lang w:val="en-US" w:eastAsia="zh-CN" w:bidi="ar"/>
              </w:rPr>
              <w:t>项目资金</w:t>
            </w:r>
            <w:r>
              <w:rPr>
                <w:rFonts w:hint="default" w:ascii="TimesNewRoman" w:hAnsi="TimesNewRoman" w:eastAsia="宋体" w:cs="TimesNewRoman"/>
                <w:i w:val="0"/>
                <w:color w:val="000000"/>
                <w:kern w:val="0"/>
                <w:sz w:val="20"/>
                <w:szCs w:val="20"/>
                <w:highlight w:val="none"/>
                <w:u w:val="none"/>
                <w:lang w:val="en-US" w:eastAsia="zh-CN" w:bidi="ar"/>
              </w:rPr>
              <w:br w:type="textWrapping"/>
            </w:r>
            <w:r>
              <w:rPr>
                <w:rFonts w:hint="default" w:ascii="TimesNewRoman" w:hAnsi="TimesNewRoman" w:eastAsia="宋体" w:cs="TimesNewRoman"/>
                <w:i w:val="0"/>
                <w:color w:val="000000"/>
                <w:kern w:val="0"/>
                <w:sz w:val="20"/>
                <w:szCs w:val="20"/>
                <w:highlight w:val="none"/>
                <w:u w:val="none"/>
                <w:lang w:val="en-US" w:eastAsia="zh-CN" w:bidi="ar"/>
              </w:rPr>
              <w:t>（万元）</w:t>
            </w:r>
          </w:p>
        </w:tc>
        <w:tc>
          <w:tcPr>
            <w:tcW w:w="3349" w:type="dxa"/>
            <w:gridSpan w:val="2"/>
            <w:tcBorders>
              <w:tl2br w:val="nil"/>
              <w:tr2bl w:val="nil"/>
            </w:tcBorders>
            <w:noWrap w:val="0"/>
            <w:vAlign w:val="center"/>
          </w:tcPr>
          <w:p w14:paraId="113A10D8">
            <w:pPr>
              <w:keepNext w:val="0"/>
              <w:keepLines w:val="0"/>
              <w:widowControl/>
              <w:suppressLineNumbers w:val="0"/>
              <w:jc w:val="left"/>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年度资金总额：</w:t>
            </w:r>
          </w:p>
        </w:tc>
        <w:tc>
          <w:tcPr>
            <w:tcW w:w="4228" w:type="dxa"/>
            <w:gridSpan w:val="2"/>
            <w:tcBorders>
              <w:tl2br w:val="nil"/>
              <w:tr2bl w:val="nil"/>
            </w:tcBorders>
            <w:noWrap w:val="0"/>
            <w:vAlign w:val="center"/>
          </w:tcPr>
          <w:p w14:paraId="4B729579">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lang w:val="en" w:eastAsia="zh-CN"/>
              </w:rPr>
              <w:t>535</w:t>
            </w:r>
          </w:p>
        </w:tc>
      </w:tr>
      <w:tr w14:paraId="16F98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2BE19782">
            <w:pPr>
              <w:jc w:val="center"/>
              <w:rPr>
                <w:rFonts w:hint="default" w:ascii="TimesNewRoman" w:hAnsi="TimesNewRoman" w:cs="TimesNewRoman"/>
                <w:color w:val="000000"/>
                <w:sz w:val="20"/>
                <w:highlight w:val="none"/>
              </w:rPr>
            </w:pPr>
          </w:p>
        </w:tc>
        <w:tc>
          <w:tcPr>
            <w:tcW w:w="3349" w:type="dxa"/>
            <w:gridSpan w:val="2"/>
            <w:tcBorders>
              <w:tl2br w:val="nil"/>
              <w:tr2bl w:val="nil"/>
            </w:tcBorders>
            <w:noWrap w:val="0"/>
            <w:vAlign w:val="center"/>
          </w:tcPr>
          <w:p w14:paraId="460336F9">
            <w:pPr>
              <w:keepNext w:val="0"/>
              <w:keepLines w:val="0"/>
              <w:widowControl/>
              <w:suppressLineNumbers w:val="0"/>
              <w:jc w:val="left"/>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其中：财政拨款</w:t>
            </w:r>
          </w:p>
        </w:tc>
        <w:tc>
          <w:tcPr>
            <w:tcW w:w="4228" w:type="dxa"/>
            <w:gridSpan w:val="2"/>
            <w:tcBorders>
              <w:tl2br w:val="nil"/>
              <w:tr2bl w:val="nil"/>
            </w:tcBorders>
            <w:noWrap w:val="0"/>
            <w:vAlign w:val="center"/>
          </w:tcPr>
          <w:p w14:paraId="5FF0E3BD">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lang w:val="en" w:eastAsia="zh-CN"/>
              </w:rPr>
              <w:t>535</w:t>
            </w:r>
          </w:p>
        </w:tc>
      </w:tr>
      <w:tr w14:paraId="6FE99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18C2D1A3">
            <w:pPr>
              <w:jc w:val="center"/>
              <w:rPr>
                <w:rFonts w:hint="default" w:ascii="TimesNewRoman" w:hAnsi="TimesNewRoman" w:cs="TimesNewRoman"/>
                <w:color w:val="000000"/>
                <w:sz w:val="20"/>
                <w:highlight w:val="none"/>
              </w:rPr>
            </w:pPr>
          </w:p>
        </w:tc>
        <w:tc>
          <w:tcPr>
            <w:tcW w:w="3349" w:type="dxa"/>
            <w:gridSpan w:val="2"/>
            <w:tcBorders>
              <w:tl2br w:val="nil"/>
              <w:tr2bl w:val="nil"/>
            </w:tcBorders>
            <w:noWrap w:val="0"/>
            <w:vAlign w:val="center"/>
          </w:tcPr>
          <w:p w14:paraId="7395F505">
            <w:pPr>
              <w:keepNext w:val="0"/>
              <w:keepLines w:val="0"/>
              <w:widowControl/>
              <w:suppressLineNumbers w:val="0"/>
              <w:jc w:val="left"/>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上年结转</w:t>
            </w:r>
          </w:p>
        </w:tc>
        <w:tc>
          <w:tcPr>
            <w:tcW w:w="4228" w:type="dxa"/>
            <w:gridSpan w:val="2"/>
            <w:tcBorders>
              <w:tl2br w:val="nil"/>
              <w:tr2bl w:val="nil"/>
            </w:tcBorders>
            <w:noWrap w:val="0"/>
            <w:vAlign w:val="center"/>
          </w:tcPr>
          <w:p w14:paraId="636D2F7F">
            <w:pPr>
              <w:jc w:val="center"/>
              <w:rPr>
                <w:rFonts w:hint="eastAsia" w:ascii="宋体" w:hAnsi="宋体" w:eastAsia="宋体" w:cs="宋体"/>
                <w:color w:val="000000"/>
                <w:sz w:val="20"/>
                <w:highlight w:val="none"/>
                <w:lang w:val="en-US" w:eastAsia="zh-CN"/>
              </w:rPr>
            </w:pPr>
            <w:r>
              <w:rPr>
                <w:rFonts w:hint="eastAsia" w:ascii="宋体" w:hAnsi="宋体" w:eastAsia="宋体" w:cs="宋体"/>
                <w:color w:val="000000"/>
                <w:sz w:val="20"/>
                <w:highlight w:val="none"/>
                <w:lang w:val="en-US" w:eastAsia="zh-CN"/>
              </w:rPr>
              <w:t>0</w:t>
            </w:r>
          </w:p>
        </w:tc>
      </w:tr>
      <w:tr w14:paraId="31EB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19CE6426">
            <w:pPr>
              <w:jc w:val="center"/>
              <w:rPr>
                <w:rFonts w:hint="default" w:ascii="TimesNewRoman" w:hAnsi="TimesNewRoman" w:cs="TimesNewRoman"/>
                <w:color w:val="000000"/>
                <w:sz w:val="20"/>
                <w:highlight w:val="none"/>
              </w:rPr>
            </w:pPr>
          </w:p>
        </w:tc>
        <w:tc>
          <w:tcPr>
            <w:tcW w:w="3349" w:type="dxa"/>
            <w:gridSpan w:val="2"/>
            <w:tcBorders>
              <w:tl2br w:val="nil"/>
              <w:tr2bl w:val="nil"/>
            </w:tcBorders>
            <w:noWrap w:val="0"/>
            <w:vAlign w:val="center"/>
          </w:tcPr>
          <w:p w14:paraId="01BDE70A">
            <w:pPr>
              <w:keepNext w:val="0"/>
              <w:keepLines w:val="0"/>
              <w:widowControl/>
              <w:suppressLineNumbers w:val="0"/>
              <w:jc w:val="left"/>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4228" w:type="dxa"/>
            <w:gridSpan w:val="2"/>
            <w:tcBorders>
              <w:tl2br w:val="nil"/>
              <w:tr2bl w:val="nil"/>
            </w:tcBorders>
            <w:noWrap w:val="0"/>
            <w:vAlign w:val="center"/>
          </w:tcPr>
          <w:p w14:paraId="127FC0FF">
            <w:pPr>
              <w:jc w:val="center"/>
              <w:rPr>
                <w:rFonts w:hint="eastAsia" w:ascii="宋体" w:hAnsi="宋体" w:eastAsia="宋体" w:cs="宋体"/>
                <w:color w:val="000000"/>
                <w:sz w:val="20"/>
                <w:highlight w:val="none"/>
                <w:lang w:val="en-US" w:eastAsia="zh-CN"/>
              </w:rPr>
            </w:pPr>
            <w:r>
              <w:rPr>
                <w:rFonts w:hint="eastAsia" w:ascii="宋体" w:hAnsi="宋体" w:eastAsia="宋体" w:cs="宋体"/>
                <w:color w:val="000000"/>
                <w:sz w:val="20"/>
                <w:highlight w:val="none"/>
                <w:lang w:val="en-US" w:eastAsia="zh-CN"/>
              </w:rPr>
              <w:t>0</w:t>
            </w:r>
          </w:p>
        </w:tc>
      </w:tr>
      <w:tr w14:paraId="442B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438" w:type="dxa"/>
            <w:tcBorders>
              <w:tl2br w:val="nil"/>
              <w:tr2bl w:val="nil"/>
            </w:tcBorders>
            <w:noWrap w:val="0"/>
            <w:vAlign w:val="center"/>
          </w:tcPr>
          <w:p w14:paraId="778E359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NewRoman" w:hAnsi="TimesNewRoman" w:cs="TimesNewRoman"/>
                <w:color w:val="000000"/>
                <w:sz w:val="20"/>
                <w:highlight w:val="none"/>
              </w:rPr>
            </w:pPr>
            <w:r>
              <w:rPr>
                <w:rFonts w:hint="default" w:ascii="TimesNewRoman" w:hAnsi="TimesNewRoman" w:eastAsia="宋体" w:cs="TimesNewRoman"/>
                <w:i w:val="0"/>
                <w:color w:val="000000"/>
                <w:kern w:val="0"/>
                <w:sz w:val="20"/>
                <w:szCs w:val="20"/>
                <w:highlight w:val="none"/>
                <w:u w:val="none"/>
                <w:lang w:val="en-US" w:eastAsia="zh-CN" w:bidi="ar"/>
              </w:rPr>
              <w:t>年度</w:t>
            </w:r>
            <w:r>
              <w:rPr>
                <w:rFonts w:hint="default" w:ascii="TimesNewRoman" w:hAnsi="TimesNewRoman" w:eastAsia="宋体" w:cs="TimesNewRoman"/>
                <w:i w:val="0"/>
                <w:color w:val="000000"/>
                <w:kern w:val="0"/>
                <w:sz w:val="20"/>
                <w:szCs w:val="20"/>
                <w:highlight w:val="none"/>
                <w:u w:val="none"/>
                <w:lang w:val="en-US" w:eastAsia="zh-CN" w:bidi="ar"/>
              </w:rPr>
              <w:br w:type="textWrapping"/>
            </w:r>
            <w:r>
              <w:rPr>
                <w:rFonts w:hint="default" w:ascii="TimesNewRoman" w:hAnsi="TimesNewRoman" w:eastAsia="宋体" w:cs="TimesNewRoman"/>
                <w:i w:val="0"/>
                <w:color w:val="000000"/>
                <w:kern w:val="0"/>
                <w:sz w:val="20"/>
                <w:szCs w:val="20"/>
                <w:highlight w:val="none"/>
                <w:u w:val="none"/>
                <w:lang w:val="en-US" w:eastAsia="zh-CN" w:bidi="ar"/>
              </w:rPr>
              <w:t>目标</w:t>
            </w:r>
          </w:p>
        </w:tc>
        <w:tc>
          <w:tcPr>
            <w:tcW w:w="8582" w:type="dxa"/>
            <w:gridSpan w:val="6"/>
            <w:tcBorders>
              <w:tl2br w:val="nil"/>
              <w:tr2bl w:val="nil"/>
            </w:tcBorders>
            <w:noWrap w:val="0"/>
            <w:vAlign w:val="center"/>
          </w:tcPr>
          <w:p w14:paraId="3DE355F0">
            <w:pPr>
              <w:jc w:val="left"/>
              <w:rPr>
                <w:rFonts w:hint="eastAsia" w:ascii="宋体" w:hAnsi="宋体" w:eastAsia="宋体" w:cs="宋体"/>
                <w:color w:val="000000"/>
                <w:kern w:val="2"/>
                <w:sz w:val="20"/>
                <w:highlight w:val="none"/>
                <w:lang w:val="en-US" w:eastAsia="zh-CN" w:bidi="ar-SA"/>
              </w:rPr>
            </w:pPr>
            <w:r>
              <w:rPr>
                <w:rFonts w:hint="eastAsia" w:ascii="宋体" w:hAnsi="宋体" w:eastAsia="宋体" w:cs="宋体"/>
                <w:color w:val="auto"/>
                <w:sz w:val="20"/>
                <w:highlight w:val="none"/>
                <w:lang w:eastAsia="zh-CN"/>
              </w:rPr>
              <w:t>在市级收缴的水土保持补偿费中列支专项经费，全市范围内开展水土流失预防和治理工作，该项资金主要用于被损坏水土保持设施和地貌植被恢复治理工程建设。通过治加强监督管理，有效的保护和合理利用水土资源，减轻水、旱等灾害，改善生态环境，保障我市经济社会可持续发展。</w:t>
            </w:r>
            <w:r>
              <w:rPr>
                <w:rFonts w:hint="eastAsia" w:ascii="宋体" w:hAnsi="宋体" w:eastAsia="宋体" w:cs="宋体"/>
                <w:color w:val="C00000"/>
                <w:sz w:val="20"/>
                <w:highlight w:val="none"/>
                <w:lang w:eastAsia="zh-CN"/>
              </w:rPr>
              <w:t xml:space="preserve"> </w:t>
            </w:r>
          </w:p>
        </w:tc>
      </w:tr>
      <w:tr w14:paraId="3AE98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tcBorders>
              <w:tl2br w:val="nil"/>
              <w:tr2bl w:val="nil"/>
            </w:tcBorders>
            <w:noWrap w:val="0"/>
            <w:vAlign w:val="center"/>
          </w:tcPr>
          <w:p w14:paraId="13E07DA8">
            <w:pPr>
              <w:keepNext w:val="0"/>
              <w:keepLines w:val="0"/>
              <w:widowControl/>
              <w:suppressLineNumbers w:val="0"/>
              <w:jc w:val="center"/>
              <w:textAlignment w:val="center"/>
              <w:rPr>
                <w:rFonts w:hint="default" w:ascii="TimesNewRoman" w:hAnsi="TimesNewRoman" w:cs="TimesNewRoman"/>
                <w:color w:val="000000"/>
                <w:sz w:val="20"/>
                <w:highlight w:val="none"/>
              </w:rPr>
            </w:pPr>
            <w:r>
              <w:rPr>
                <w:rFonts w:hint="default" w:ascii="TimesNewRoman" w:hAnsi="TimesNewRoman" w:eastAsia="宋体" w:cs="TimesNewRoman"/>
                <w:i w:val="0"/>
                <w:color w:val="000000"/>
                <w:kern w:val="0"/>
                <w:sz w:val="20"/>
                <w:szCs w:val="20"/>
                <w:highlight w:val="none"/>
                <w:u w:val="none"/>
                <w:lang w:val="en-US" w:eastAsia="zh-CN" w:bidi="ar"/>
              </w:rPr>
              <w:t>绩</w:t>
            </w:r>
            <w:r>
              <w:rPr>
                <w:rFonts w:hint="default" w:ascii="TimesNewRoman" w:hAnsi="TimesNewRoman" w:eastAsia="宋体" w:cs="TimesNewRoman"/>
                <w:i w:val="0"/>
                <w:color w:val="000000"/>
                <w:kern w:val="0"/>
                <w:sz w:val="20"/>
                <w:szCs w:val="20"/>
                <w:highlight w:val="none"/>
                <w:u w:val="none"/>
                <w:lang w:val="en-US" w:eastAsia="zh-CN" w:bidi="ar"/>
              </w:rPr>
              <w:br w:type="textWrapping"/>
            </w:r>
            <w:r>
              <w:rPr>
                <w:rFonts w:hint="default" w:ascii="TimesNewRoman" w:hAnsi="TimesNewRoman" w:eastAsia="宋体" w:cs="TimesNewRoman"/>
                <w:i w:val="0"/>
                <w:color w:val="000000"/>
                <w:kern w:val="0"/>
                <w:sz w:val="20"/>
                <w:szCs w:val="20"/>
                <w:highlight w:val="none"/>
                <w:u w:val="none"/>
                <w:lang w:val="en-US" w:eastAsia="zh-CN" w:bidi="ar"/>
              </w:rPr>
              <w:t>效</w:t>
            </w:r>
            <w:r>
              <w:rPr>
                <w:rFonts w:hint="default" w:ascii="TimesNewRoman" w:hAnsi="TimesNewRoman" w:eastAsia="宋体" w:cs="TimesNewRoman"/>
                <w:i w:val="0"/>
                <w:color w:val="000000"/>
                <w:kern w:val="0"/>
                <w:sz w:val="20"/>
                <w:szCs w:val="20"/>
                <w:highlight w:val="none"/>
                <w:u w:val="none"/>
                <w:lang w:val="en-US" w:eastAsia="zh-CN" w:bidi="ar"/>
              </w:rPr>
              <w:br w:type="textWrapping"/>
            </w:r>
            <w:r>
              <w:rPr>
                <w:rFonts w:hint="default" w:ascii="TimesNewRoman" w:hAnsi="TimesNewRoman" w:eastAsia="宋体" w:cs="TimesNewRoman"/>
                <w:i w:val="0"/>
                <w:color w:val="000000"/>
                <w:kern w:val="0"/>
                <w:sz w:val="20"/>
                <w:szCs w:val="20"/>
                <w:highlight w:val="none"/>
                <w:u w:val="none"/>
                <w:lang w:val="en-US" w:eastAsia="zh-CN" w:bidi="ar"/>
              </w:rPr>
              <w:t>指</w:t>
            </w:r>
            <w:r>
              <w:rPr>
                <w:rFonts w:hint="default" w:ascii="TimesNewRoman" w:hAnsi="TimesNewRoman" w:eastAsia="宋体" w:cs="TimesNewRoman"/>
                <w:i w:val="0"/>
                <w:color w:val="000000"/>
                <w:kern w:val="0"/>
                <w:sz w:val="20"/>
                <w:szCs w:val="20"/>
                <w:highlight w:val="none"/>
                <w:u w:val="none"/>
                <w:lang w:val="en-US" w:eastAsia="zh-CN" w:bidi="ar"/>
              </w:rPr>
              <w:br w:type="textWrapping"/>
            </w:r>
            <w:r>
              <w:rPr>
                <w:rFonts w:hint="default" w:ascii="TimesNewRoman" w:hAnsi="TimesNewRoman" w:eastAsia="宋体" w:cs="TimesNewRoman"/>
                <w:i w:val="0"/>
                <w:color w:val="000000"/>
                <w:kern w:val="0"/>
                <w:sz w:val="20"/>
                <w:szCs w:val="20"/>
                <w:highlight w:val="none"/>
                <w:u w:val="none"/>
                <w:lang w:val="en-US" w:eastAsia="zh-CN" w:bidi="ar"/>
              </w:rPr>
              <w:t>标</w:t>
            </w:r>
          </w:p>
        </w:tc>
        <w:tc>
          <w:tcPr>
            <w:tcW w:w="723" w:type="dxa"/>
            <w:tcBorders>
              <w:tl2br w:val="nil"/>
              <w:tr2bl w:val="nil"/>
            </w:tcBorders>
            <w:noWrap w:val="0"/>
            <w:vAlign w:val="center"/>
          </w:tcPr>
          <w:p w14:paraId="54C60B3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NewRoman" w:hAnsi="TimesNewRoman" w:cs="TimesNewRoman"/>
                <w:color w:val="000000"/>
                <w:sz w:val="20"/>
                <w:highlight w:val="none"/>
              </w:rPr>
            </w:pPr>
            <w:r>
              <w:rPr>
                <w:rFonts w:hint="default" w:ascii="TimesNewRoman" w:hAnsi="TimesNewRoman" w:eastAsia="宋体" w:cs="TimesNewRoman"/>
                <w:i w:val="0"/>
                <w:color w:val="000000"/>
                <w:kern w:val="0"/>
                <w:sz w:val="20"/>
                <w:szCs w:val="20"/>
                <w:highlight w:val="none"/>
                <w:u w:val="none"/>
                <w:lang w:val="en-US" w:eastAsia="zh-CN" w:bidi="ar"/>
              </w:rPr>
              <w:t>一级</w:t>
            </w:r>
            <w:r>
              <w:rPr>
                <w:rFonts w:hint="default" w:ascii="TimesNewRoman" w:hAnsi="TimesNewRoman" w:eastAsia="宋体" w:cs="TimesNewRoman"/>
                <w:i w:val="0"/>
                <w:color w:val="000000"/>
                <w:kern w:val="0"/>
                <w:sz w:val="20"/>
                <w:szCs w:val="20"/>
                <w:highlight w:val="none"/>
                <w:u w:val="none"/>
                <w:lang w:val="en-US" w:eastAsia="zh-CN" w:bidi="ar"/>
              </w:rPr>
              <w:br w:type="textWrapping"/>
            </w:r>
            <w:r>
              <w:rPr>
                <w:rFonts w:hint="default" w:ascii="TimesNewRoman" w:hAnsi="TimesNewRoman" w:eastAsia="宋体" w:cs="TimesNewRoman"/>
                <w:i w:val="0"/>
                <w:color w:val="000000"/>
                <w:kern w:val="0"/>
                <w:sz w:val="20"/>
                <w:szCs w:val="20"/>
                <w:highlight w:val="none"/>
                <w:u w:val="none"/>
                <w:lang w:val="en-US" w:eastAsia="zh-CN" w:bidi="ar"/>
              </w:rPr>
              <w:t>指标</w:t>
            </w:r>
          </w:p>
        </w:tc>
        <w:tc>
          <w:tcPr>
            <w:tcW w:w="759" w:type="dxa"/>
            <w:gridSpan w:val="2"/>
            <w:tcBorders>
              <w:tl2br w:val="nil"/>
              <w:tr2bl w:val="nil"/>
            </w:tcBorders>
            <w:noWrap w:val="0"/>
            <w:vAlign w:val="center"/>
          </w:tcPr>
          <w:p w14:paraId="0F6374E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872" w:type="dxa"/>
            <w:tcBorders>
              <w:tl2br w:val="nil"/>
              <w:tr2bl w:val="nil"/>
            </w:tcBorders>
            <w:noWrap w:val="0"/>
            <w:vAlign w:val="center"/>
          </w:tcPr>
          <w:p w14:paraId="2D60B693">
            <w:pPr>
              <w:keepNext w:val="0"/>
              <w:keepLines w:val="0"/>
              <w:widowControl/>
              <w:suppressLineNumbers w:val="0"/>
              <w:jc w:val="center"/>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4228" w:type="dxa"/>
            <w:gridSpan w:val="2"/>
            <w:tcBorders>
              <w:tl2br w:val="nil"/>
              <w:tr2bl w:val="nil"/>
            </w:tcBorders>
            <w:noWrap w:val="0"/>
            <w:vAlign w:val="center"/>
          </w:tcPr>
          <w:p w14:paraId="08D6322E">
            <w:pPr>
              <w:keepNext w:val="0"/>
              <w:keepLines w:val="0"/>
              <w:widowControl/>
              <w:suppressLineNumbers w:val="0"/>
              <w:jc w:val="center"/>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指标值</w:t>
            </w:r>
            <w:bookmarkStart w:id="0" w:name="_GoBack"/>
            <w:bookmarkEnd w:id="0"/>
          </w:p>
        </w:tc>
      </w:tr>
      <w:tr w14:paraId="197B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671F6C0">
            <w:pPr>
              <w:jc w:val="center"/>
              <w:rPr>
                <w:rFonts w:hint="default" w:ascii="TimesNewRoman" w:hAnsi="TimesNewRoman" w:cs="TimesNewRoman"/>
                <w:color w:val="000000"/>
                <w:sz w:val="20"/>
                <w:highlight w:val="none"/>
              </w:rPr>
            </w:pPr>
          </w:p>
        </w:tc>
        <w:tc>
          <w:tcPr>
            <w:tcW w:w="723" w:type="dxa"/>
            <w:vMerge w:val="restart"/>
            <w:tcBorders>
              <w:tl2br w:val="nil"/>
              <w:tr2bl w:val="nil"/>
            </w:tcBorders>
            <w:noWrap w:val="0"/>
            <w:vAlign w:val="center"/>
          </w:tcPr>
          <w:p w14:paraId="2F518B76">
            <w:pPr>
              <w:keepNext w:val="0"/>
              <w:keepLines w:val="0"/>
              <w:widowControl/>
              <w:suppressLineNumbers w:val="0"/>
              <w:jc w:val="center"/>
              <w:textAlignment w:val="center"/>
              <w:rPr>
                <w:rFonts w:hint="default" w:ascii="TimesNewRoman" w:hAnsi="TimesNewRoman" w:cs="TimesNewRoman"/>
                <w:color w:val="000000"/>
                <w:sz w:val="20"/>
                <w:highlight w:val="none"/>
              </w:rPr>
            </w:pPr>
            <w:r>
              <w:rPr>
                <w:rFonts w:hint="default" w:ascii="TimesNewRoman" w:hAnsi="TimesNewRoman" w:eastAsia="宋体" w:cs="TimesNewRoman"/>
                <w:i w:val="0"/>
                <w:color w:val="000000"/>
                <w:kern w:val="0"/>
                <w:sz w:val="20"/>
                <w:szCs w:val="20"/>
                <w:highlight w:val="none"/>
                <w:u w:val="none"/>
                <w:lang w:val="en-US" w:eastAsia="zh-CN" w:bidi="ar"/>
              </w:rPr>
              <w:t>产出指标</w:t>
            </w:r>
          </w:p>
        </w:tc>
        <w:tc>
          <w:tcPr>
            <w:tcW w:w="759" w:type="dxa"/>
            <w:gridSpan w:val="2"/>
            <w:vMerge w:val="restart"/>
            <w:tcBorders>
              <w:tl2br w:val="nil"/>
              <w:tr2bl w:val="nil"/>
            </w:tcBorders>
            <w:noWrap w:val="0"/>
            <w:vAlign w:val="center"/>
          </w:tcPr>
          <w:p w14:paraId="6B39FA0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872" w:type="dxa"/>
            <w:tcBorders>
              <w:tl2br w:val="nil"/>
              <w:tr2bl w:val="nil"/>
            </w:tcBorders>
            <w:noWrap w:val="0"/>
            <w:vAlign w:val="center"/>
          </w:tcPr>
          <w:p w14:paraId="18840562">
            <w:pPr>
              <w:keepNext w:val="0"/>
              <w:keepLines w:val="0"/>
              <w:widowControl/>
              <w:suppressLineNumbers w:val="0"/>
              <w:jc w:val="left"/>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市级年度计划征收水土保持补偿费</w:t>
            </w:r>
          </w:p>
        </w:tc>
        <w:tc>
          <w:tcPr>
            <w:tcW w:w="4228" w:type="dxa"/>
            <w:gridSpan w:val="2"/>
            <w:tcBorders>
              <w:tl2br w:val="nil"/>
              <w:tr2bl w:val="nil"/>
            </w:tcBorders>
            <w:noWrap w:val="0"/>
            <w:vAlign w:val="center"/>
          </w:tcPr>
          <w:p w14:paraId="7792EA35">
            <w:pPr>
              <w:jc w:val="center"/>
              <w:rPr>
                <w:rFonts w:hint="default" w:ascii="宋体" w:hAnsi="宋体" w:eastAsia="宋体" w:cs="宋体"/>
                <w:color w:val="000000"/>
                <w:sz w:val="20"/>
                <w:highlight w:val="none"/>
                <w:lang w:val="en-US"/>
              </w:rPr>
            </w:pPr>
            <w:r>
              <w:rPr>
                <w:rFonts w:hint="eastAsia" w:ascii="TimesNewRoman" w:hAnsi="TimesNewRoman" w:cs="TimesNewRoman"/>
                <w:color w:val="000000"/>
                <w:sz w:val="20"/>
                <w:highlight w:val="none"/>
                <w:lang w:val="en-US" w:eastAsia="zh-CN"/>
              </w:rPr>
              <w:t>≥</w:t>
            </w:r>
            <w:r>
              <w:rPr>
                <w:rFonts w:hint="eastAsia" w:ascii="宋体" w:hAnsi="宋体" w:eastAsia="宋体" w:cs="宋体"/>
                <w:color w:val="000000"/>
                <w:sz w:val="20"/>
                <w:highlight w:val="none"/>
                <w:lang w:val="en-US" w:eastAsia="zh-CN"/>
              </w:rPr>
              <w:t>600万元</w:t>
            </w:r>
          </w:p>
        </w:tc>
      </w:tr>
      <w:tr w14:paraId="32B1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46435613">
            <w:pPr>
              <w:jc w:val="center"/>
              <w:rPr>
                <w:rFonts w:hint="default" w:ascii="TimesNewRoman" w:hAnsi="TimesNewRoman" w:cs="TimesNewRoman"/>
                <w:color w:val="000000"/>
                <w:sz w:val="20"/>
                <w:highlight w:val="none"/>
              </w:rPr>
            </w:pPr>
          </w:p>
        </w:tc>
        <w:tc>
          <w:tcPr>
            <w:tcW w:w="723" w:type="dxa"/>
            <w:vMerge w:val="continue"/>
            <w:tcBorders>
              <w:tl2br w:val="nil"/>
              <w:tr2bl w:val="nil"/>
            </w:tcBorders>
            <w:noWrap w:val="0"/>
            <w:vAlign w:val="center"/>
          </w:tcPr>
          <w:p w14:paraId="4E7BE0C5">
            <w:pPr>
              <w:jc w:val="center"/>
              <w:rPr>
                <w:rFonts w:hint="default" w:ascii="TimesNewRoman" w:hAnsi="TimesNewRoman" w:cs="TimesNewRoman"/>
                <w:color w:val="000000"/>
                <w:sz w:val="20"/>
                <w:highlight w:val="none"/>
              </w:rPr>
            </w:pPr>
          </w:p>
        </w:tc>
        <w:tc>
          <w:tcPr>
            <w:tcW w:w="759" w:type="dxa"/>
            <w:gridSpan w:val="2"/>
            <w:vMerge w:val="continue"/>
            <w:tcBorders>
              <w:tl2br w:val="nil"/>
              <w:tr2bl w:val="nil"/>
            </w:tcBorders>
            <w:noWrap w:val="0"/>
            <w:vAlign w:val="center"/>
          </w:tcPr>
          <w:p w14:paraId="64251192">
            <w:pPr>
              <w:jc w:val="center"/>
              <w:rPr>
                <w:rFonts w:hint="eastAsia" w:ascii="宋体" w:hAnsi="宋体" w:eastAsia="宋体" w:cs="宋体"/>
                <w:color w:val="000000"/>
                <w:sz w:val="20"/>
                <w:highlight w:val="none"/>
              </w:rPr>
            </w:pPr>
          </w:p>
        </w:tc>
        <w:tc>
          <w:tcPr>
            <w:tcW w:w="2872" w:type="dxa"/>
            <w:tcBorders>
              <w:tl2br w:val="nil"/>
              <w:tr2bl w:val="nil"/>
            </w:tcBorders>
            <w:noWrap w:val="0"/>
            <w:vAlign w:val="center"/>
          </w:tcPr>
          <w:p w14:paraId="3EAE79C8">
            <w:pPr>
              <w:keepNext w:val="0"/>
              <w:keepLines w:val="0"/>
              <w:widowControl/>
              <w:suppressLineNumbers w:val="0"/>
              <w:jc w:val="left"/>
              <w:textAlignment w:val="center"/>
              <w:rPr>
                <w:rFonts w:hint="default" w:ascii="宋体" w:hAnsi="宋体" w:eastAsia="宋体" w:cs="宋体"/>
                <w:color w:val="000000"/>
                <w:sz w:val="20"/>
                <w:highlight w:val="none"/>
                <w:lang w:val="en-US"/>
              </w:rPr>
            </w:pPr>
            <w:r>
              <w:rPr>
                <w:rFonts w:hint="eastAsia" w:ascii="宋体" w:hAnsi="宋体" w:eastAsia="宋体" w:cs="宋体"/>
                <w:i w:val="0"/>
                <w:color w:val="000000"/>
                <w:kern w:val="0"/>
                <w:sz w:val="20"/>
                <w:szCs w:val="20"/>
                <w:highlight w:val="none"/>
                <w:u w:val="none"/>
                <w:lang w:val="en-US" w:eastAsia="zh-CN" w:bidi="ar"/>
              </w:rPr>
              <w:t>县级年度计划征收水土保持补偿费</w:t>
            </w:r>
          </w:p>
        </w:tc>
        <w:tc>
          <w:tcPr>
            <w:tcW w:w="4228" w:type="dxa"/>
            <w:gridSpan w:val="2"/>
            <w:tcBorders>
              <w:tl2br w:val="nil"/>
              <w:tr2bl w:val="nil"/>
            </w:tcBorders>
            <w:noWrap w:val="0"/>
            <w:vAlign w:val="center"/>
          </w:tcPr>
          <w:p w14:paraId="4BC7D23C">
            <w:pPr>
              <w:jc w:val="center"/>
              <w:rPr>
                <w:rFonts w:hint="eastAsia" w:ascii="宋体" w:hAnsi="宋体" w:eastAsia="宋体" w:cs="宋体"/>
                <w:color w:val="000000"/>
                <w:sz w:val="20"/>
                <w:highlight w:val="none"/>
              </w:rPr>
            </w:pPr>
            <w:r>
              <w:rPr>
                <w:rFonts w:hint="eastAsia" w:ascii="TimesNewRoman" w:hAnsi="TimesNewRoman" w:cs="TimesNewRoman"/>
                <w:color w:val="000000"/>
                <w:sz w:val="20"/>
                <w:highlight w:val="none"/>
                <w:lang w:val="en-US" w:eastAsia="zh-CN"/>
              </w:rPr>
              <w:t>≥</w:t>
            </w:r>
            <w:r>
              <w:rPr>
                <w:rFonts w:hint="eastAsia" w:ascii="宋体" w:hAnsi="宋体" w:eastAsia="宋体" w:cs="宋体"/>
                <w:color w:val="000000"/>
                <w:sz w:val="20"/>
                <w:highlight w:val="none"/>
                <w:lang w:val="en-US" w:eastAsia="zh-CN"/>
              </w:rPr>
              <w:t>700万元</w:t>
            </w:r>
          </w:p>
        </w:tc>
      </w:tr>
      <w:tr w14:paraId="759D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343D994">
            <w:pPr>
              <w:jc w:val="center"/>
              <w:rPr>
                <w:rFonts w:hint="default" w:ascii="TimesNewRoman" w:hAnsi="TimesNewRoman" w:cs="TimesNewRoman"/>
                <w:color w:val="000000"/>
                <w:sz w:val="20"/>
                <w:highlight w:val="none"/>
              </w:rPr>
            </w:pPr>
          </w:p>
        </w:tc>
        <w:tc>
          <w:tcPr>
            <w:tcW w:w="723" w:type="dxa"/>
            <w:vMerge w:val="continue"/>
            <w:tcBorders>
              <w:tl2br w:val="nil"/>
              <w:tr2bl w:val="nil"/>
            </w:tcBorders>
            <w:noWrap w:val="0"/>
            <w:vAlign w:val="center"/>
          </w:tcPr>
          <w:p w14:paraId="64B9F75B">
            <w:pPr>
              <w:jc w:val="center"/>
              <w:rPr>
                <w:rFonts w:hint="default" w:ascii="TimesNewRoman" w:hAnsi="TimesNewRoman" w:cs="TimesNewRoman"/>
                <w:color w:val="000000"/>
                <w:sz w:val="20"/>
                <w:highlight w:val="none"/>
              </w:rPr>
            </w:pPr>
          </w:p>
        </w:tc>
        <w:tc>
          <w:tcPr>
            <w:tcW w:w="759" w:type="dxa"/>
            <w:gridSpan w:val="2"/>
            <w:tcBorders>
              <w:tl2br w:val="nil"/>
              <w:tr2bl w:val="nil"/>
            </w:tcBorders>
            <w:noWrap w:val="0"/>
            <w:vAlign w:val="center"/>
          </w:tcPr>
          <w:p w14:paraId="09D4CF4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872" w:type="dxa"/>
            <w:tcBorders>
              <w:tl2br w:val="nil"/>
              <w:tr2bl w:val="nil"/>
            </w:tcBorders>
            <w:noWrap w:val="0"/>
            <w:vAlign w:val="center"/>
          </w:tcPr>
          <w:p w14:paraId="09F8ABE7">
            <w:pPr>
              <w:keepNext w:val="0"/>
              <w:keepLines w:val="0"/>
              <w:widowControl/>
              <w:suppressLineNumbers w:val="0"/>
              <w:jc w:val="left"/>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《中华人民共和国水土保持法》、安徽省实施《中华人民共和国水土保持法》办法</w:t>
            </w:r>
          </w:p>
        </w:tc>
        <w:tc>
          <w:tcPr>
            <w:tcW w:w="4228" w:type="dxa"/>
            <w:gridSpan w:val="2"/>
            <w:tcBorders>
              <w:tl2br w:val="nil"/>
              <w:tr2bl w:val="nil"/>
            </w:tcBorders>
            <w:noWrap w:val="0"/>
            <w:vAlign w:val="center"/>
          </w:tcPr>
          <w:p w14:paraId="15EB7BEF">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lang w:val="en-US" w:eastAsia="zh-CN"/>
              </w:rPr>
              <w:t>符合</w:t>
            </w:r>
          </w:p>
        </w:tc>
      </w:tr>
      <w:tr w14:paraId="0F0E1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438" w:type="dxa"/>
            <w:vMerge w:val="continue"/>
            <w:tcBorders>
              <w:tl2br w:val="nil"/>
              <w:tr2bl w:val="nil"/>
            </w:tcBorders>
            <w:noWrap w:val="0"/>
            <w:vAlign w:val="center"/>
          </w:tcPr>
          <w:p w14:paraId="16727DC1">
            <w:pPr>
              <w:jc w:val="center"/>
              <w:rPr>
                <w:rFonts w:hint="default" w:ascii="TimesNewRoman" w:hAnsi="TimesNewRoman" w:cs="TimesNewRoman"/>
                <w:color w:val="000000"/>
                <w:sz w:val="20"/>
                <w:highlight w:val="none"/>
              </w:rPr>
            </w:pPr>
          </w:p>
        </w:tc>
        <w:tc>
          <w:tcPr>
            <w:tcW w:w="723" w:type="dxa"/>
            <w:vMerge w:val="continue"/>
            <w:tcBorders>
              <w:tl2br w:val="nil"/>
              <w:tr2bl w:val="nil"/>
            </w:tcBorders>
            <w:noWrap w:val="0"/>
            <w:vAlign w:val="center"/>
          </w:tcPr>
          <w:p w14:paraId="4E60DE96">
            <w:pPr>
              <w:jc w:val="center"/>
              <w:rPr>
                <w:rFonts w:hint="default" w:ascii="TimesNewRoman" w:hAnsi="TimesNewRoman" w:cs="TimesNewRoman"/>
                <w:color w:val="000000"/>
                <w:sz w:val="20"/>
                <w:highlight w:val="none"/>
              </w:rPr>
            </w:pPr>
          </w:p>
        </w:tc>
        <w:tc>
          <w:tcPr>
            <w:tcW w:w="759" w:type="dxa"/>
            <w:gridSpan w:val="2"/>
            <w:tcBorders>
              <w:tl2br w:val="nil"/>
              <w:tr2bl w:val="nil"/>
            </w:tcBorders>
            <w:noWrap w:val="0"/>
            <w:vAlign w:val="center"/>
          </w:tcPr>
          <w:p w14:paraId="00E2F88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872" w:type="dxa"/>
            <w:tcBorders>
              <w:tl2br w:val="nil"/>
              <w:tr2bl w:val="nil"/>
            </w:tcBorders>
            <w:noWrap w:val="0"/>
            <w:vAlign w:val="center"/>
          </w:tcPr>
          <w:p w14:paraId="61908BA0">
            <w:pPr>
              <w:keepNext w:val="0"/>
              <w:keepLines w:val="0"/>
              <w:widowControl/>
              <w:suppressLineNumbers w:val="0"/>
              <w:jc w:val="left"/>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实施时间</w:t>
            </w:r>
          </w:p>
        </w:tc>
        <w:tc>
          <w:tcPr>
            <w:tcW w:w="4228" w:type="dxa"/>
            <w:gridSpan w:val="2"/>
            <w:tcBorders>
              <w:tl2br w:val="nil"/>
              <w:tr2bl w:val="nil"/>
            </w:tcBorders>
            <w:noWrap w:val="0"/>
            <w:vAlign w:val="center"/>
          </w:tcPr>
          <w:p w14:paraId="5AA819A9">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lang w:val="en-US" w:eastAsia="zh-CN"/>
              </w:rPr>
              <w:t>2026年底</w:t>
            </w:r>
          </w:p>
        </w:tc>
      </w:tr>
      <w:tr w14:paraId="3F033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8" w:type="dxa"/>
            <w:vMerge w:val="continue"/>
            <w:tcBorders>
              <w:tl2br w:val="nil"/>
              <w:tr2bl w:val="nil"/>
            </w:tcBorders>
            <w:noWrap w:val="0"/>
            <w:vAlign w:val="center"/>
          </w:tcPr>
          <w:p w14:paraId="004FBAB5">
            <w:pPr>
              <w:jc w:val="center"/>
              <w:rPr>
                <w:rFonts w:hint="default" w:ascii="TimesNewRoman" w:hAnsi="TimesNewRoman" w:cs="TimesNewRoman"/>
                <w:color w:val="000000"/>
                <w:sz w:val="20"/>
                <w:highlight w:val="none"/>
              </w:rPr>
            </w:pPr>
          </w:p>
        </w:tc>
        <w:tc>
          <w:tcPr>
            <w:tcW w:w="723" w:type="dxa"/>
            <w:vMerge w:val="continue"/>
            <w:tcBorders>
              <w:tl2br w:val="nil"/>
              <w:tr2bl w:val="nil"/>
            </w:tcBorders>
            <w:noWrap w:val="0"/>
            <w:vAlign w:val="center"/>
          </w:tcPr>
          <w:p w14:paraId="657CA44A">
            <w:pPr>
              <w:jc w:val="center"/>
              <w:rPr>
                <w:rFonts w:hint="default" w:ascii="TimesNewRoman" w:hAnsi="TimesNewRoman" w:cs="TimesNewRoman"/>
                <w:color w:val="000000"/>
                <w:sz w:val="20"/>
                <w:highlight w:val="none"/>
              </w:rPr>
            </w:pPr>
          </w:p>
        </w:tc>
        <w:tc>
          <w:tcPr>
            <w:tcW w:w="759" w:type="dxa"/>
            <w:gridSpan w:val="2"/>
            <w:tcBorders>
              <w:tl2br w:val="nil"/>
              <w:tr2bl w:val="nil"/>
            </w:tcBorders>
            <w:noWrap w:val="0"/>
            <w:vAlign w:val="center"/>
          </w:tcPr>
          <w:p w14:paraId="0EF008F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872" w:type="dxa"/>
            <w:tcBorders>
              <w:tl2br w:val="nil"/>
              <w:tr2bl w:val="nil"/>
            </w:tcBorders>
            <w:noWrap w:val="0"/>
            <w:vAlign w:val="center"/>
          </w:tcPr>
          <w:p w14:paraId="75B4F1AD">
            <w:pPr>
              <w:keepNext w:val="0"/>
              <w:keepLines w:val="0"/>
              <w:widowControl/>
              <w:suppressLineNumbers w:val="0"/>
              <w:jc w:val="left"/>
              <w:textAlignment w:val="center"/>
              <w:rPr>
                <w:rFonts w:hint="default" w:ascii="宋体" w:hAnsi="宋体" w:eastAsia="宋体" w:cs="宋体"/>
                <w:color w:val="000000"/>
                <w:sz w:val="20"/>
                <w:highlight w:val="none"/>
                <w:lang w:val="en-US"/>
              </w:rPr>
            </w:pPr>
            <w:r>
              <w:rPr>
                <w:rFonts w:hint="eastAsia" w:ascii="宋体" w:hAnsi="宋体" w:eastAsia="宋体" w:cs="宋体"/>
                <w:i w:val="0"/>
                <w:color w:val="000000"/>
                <w:kern w:val="0"/>
                <w:sz w:val="20"/>
                <w:szCs w:val="20"/>
                <w:highlight w:val="none"/>
                <w:u w:val="none"/>
                <w:lang w:val="en-US" w:eastAsia="zh-CN" w:bidi="ar"/>
              </w:rPr>
              <w:t>项目支出总成本</w:t>
            </w:r>
          </w:p>
        </w:tc>
        <w:tc>
          <w:tcPr>
            <w:tcW w:w="4228" w:type="dxa"/>
            <w:gridSpan w:val="2"/>
            <w:tcBorders>
              <w:tl2br w:val="nil"/>
              <w:tr2bl w:val="nil"/>
            </w:tcBorders>
            <w:noWrap w:val="0"/>
            <w:vAlign w:val="center"/>
          </w:tcPr>
          <w:p w14:paraId="31B76715">
            <w:pPr>
              <w:jc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≤535万元</w:t>
            </w:r>
          </w:p>
        </w:tc>
      </w:tr>
      <w:tr w14:paraId="0E75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388A14EC">
            <w:pPr>
              <w:jc w:val="center"/>
              <w:rPr>
                <w:rFonts w:hint="default" w:ascii="TimesNewRoman" w:hAnsi="TimesNewRoman" w:cs="TimesNewRoman"/>
                <w:color w:val="000000"/>
                <w:sz w:val="20"/>
                <w:highlight w:val="none"/>
              </w:rPr>
            </w:pPr>
          </w:p>
        </w:tc>
        <w:tc>
          <w:tcPr>
            <w:tcW w:w="723" w:type="dxa"/>
            <w:vMerge w:val="restart"/>
            <w:tcBorders>
              <w:tl2br w:val="nil"/>
              <w:tr2bl w:val="nil"/>
            </w:tcBorders>
            <w:noWrap w:val="0"/>
            <w:vAlign w:val="center"/>
          </w:tcPr>
          <w:p w14:paraId="1E623A49">
            <w:pPr>
              <w:keepNext w:val="0"/>
              <w:keepLines w:val="0"/>
              <w:widowControl/>
              <w:suppressLineNumbers w:val="0"/>
              <w:jc w:val="center"/>
              <w:textAlignment w:val="center"/>
              <w:rPr>
                <w:rFonts w:hint="default" w:ascii="TimesNewRoman" w:hAnsi="TimesNewRoman" w:cs="TimesNewRoman"/>
                <w:color w:val="000000"/>
                <w:sz w:val="20"/>
                <w:highlight w:val="none"/>
              </w:rPr>
            </w:pPr>
            <w:r>
              <w:rPr>
                <w:rFonts w:hint="default" w:ascii="TimesNewRoman" w:hAnsi="TimesNewRoman" w:eastAsia="宋体" w:cs="TimesNewRoman"/>
                <w:i w:val="0"/>
                <w:color w:val="000000"/>
                <w:kern w:val="0"/>
                <w:sz w:val="20"/>
                <w:szCs w:val="20"/>
                <w:highlight w:val="none"/>
                <w:u w:val="none"/>
                <w:lang w:val="en-US" w:eastAsia="zh-CN" w:bidi="ar"/>
              </w:rPr>
              <w:t>效益指标</w:t>
            </w:r>
          </w:p>
        </w:tc>
        <w:tc>
          <w:tcPr>
            <w:tcW w:w="759" w:type="dxa"/>
            <w:gridSpan w:val="2"/>
            <w:tcBorders>
              <w:tl2br w:val="nil"/>
              <w:tr2bl w:val="nil"/>
            </w:tcBorders>
            <w:noWrap w:val="0"/>
            <w:vAlign w:val="center"/>
          </w:tcPr>
          <w:p w14:paraId="16A5919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872" w:type="dxa"/>
            <w:tcBorders>
              <w:tl2br w:val="nil"/>
              <w:tr2bl w:val="nil"/>
            </w:tcBorders>
            <w:noWrap w:val="0"/>
            <w:vAlign w:val="center"/>
          </w:tcPr>
          <w:p w14:paraId="56A825D5">
            <w:pPr>
              <w:keepNext w:val="0"/>
              <w:keepLines w:val="0"/>
              <w:widowControl/>
              <w:suppressLineNumbers w:val="0"/>
              <w:jc w:val="left"/>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改善生态环境和农业生产基础条件，促进产业结构的调整，促进农业增产和农民增收。</w:t>
            </w:r>
          </w:p>
        </w:tc>
        <w:tc>
          <w:tcPr>
            <w:tcW w:w="4228" w:type="dxa"/>
            <w:gridSpan w:val="2"/>
            <w:tcBorders>
              <w:tl2br w:val="nil"/>
              <w:tr2bl w:val="nil"/>
            </w:tcBorders>
            <w:noWrap w:val="0"/>
            <w:vAlign w:val="center"/>
          </w:tcPr>
          <w:p w14:paraId="2770BE45">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lang w:val="en-US" w:eastAsia="zh-CN"/>
              </w:rPr>
              <w:t>有效</w:t>
            </w:r>
          </w:p>
        </w:tc>
      </w:tr>
      <w:tr w14:paraId="4E33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9DB0C25">
            <w:pPr>
              <w:jc w:val="center"/>
              <w:rPr>
                <w:rFonts w:hint="default" w:ascii="TimesNewRoman" w:hAnsi="TimesNewRoman" w:cs="TimesNewRoman"/>
                <w:color w:val="000000"/>
                <w:sz w:val="20"/>
                <w:highlight w:val="none"/>
              </w:rPr>
            </w:pPr>
          </w:p>
        </w:tc>
        <w:tc>
          <w:tcPr>
            <w:tcW w:w="723" w:type="dxa"/>
            <w:vMerge w:val="continue"/>
            <w:tcBorders>
              <w:tl2br w:val="nil"/>
              <w:tr2bl w:val="nil"/>
            </w:tcBorders>
            <w:noWrap w:val="0"/>
            <w:vAlign w:val="center"/>
          </w:tcPr>
          <w:p w14:paraId="3CF46592">
            <w:pPr>
              <w:jc w:val="center"/>
              <w:rPr>
                <w:rFonts w:hint="default" w:ascii="TimesNewRoman" w:hAnsi="TimesNewRoman" w:cs="TimesNewRoman"/>
                <w:color w:val="000000"/>
                <w:sz w:val="20"/>
                <w:highlight w:val="none"/>
              </w:rPr>
            </w:pPr>
          </w:p>
        </w:tc>
        <w:tc>
          <w:tcPr>
            <w:tcW w:w="759" w:type="dxa"/>
            <w:gridSpan w:val="2"/>
            <w:tcBorders>
              <w:tl2br w:val="nil"/>
              <w:tr2bl w:val="nil"/>
            </w:tcBorders>
            <w:noWrap w:val="0"/>
            <w:vAlign w:val="center"/>
          </w:tcPr>
          <w:p w14:paraId="4AE4DE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872" w:type="dxa"/>
            <w:tcBorders>
              <w:tl2br w:val="nil"/>
              <w:tr2bl w:val="nil"/>
            </w:tcBorders>
            <w:noWrap w:val="0"/>
            <w:vAlign w:val="center"/>
          </w:tcPr>
          <w:p w14:paraId="4C6C7FEE">
            <w:pPr>
              <w:keepNext w:val="0"/>
              <w:keepLines w:val="0"/>
              <w:widowControl/>
              <w:suppressLineNumbers w:val="0"/>
              <w:jc w:val="left"/>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开展小流域综合治理，层层设防，节节拦蓄，增加地表植被，可以涵养水源，调节小气候</w:t>
            </w:r>
          </w:p>
        </w:tc>
        <w:tc>
          <w:tcPr>
            <w:tcW w:w="4228" w:type="dxa"/>
            <w:gridSpan w:val="2"/>
            <w:tcBorders>
              <w:tl2br w:val="nil"/>
              <w:tr2bl w:val="nil"/>
            </w:tcBorders>
            <w:noWrap w:val="0"/>
            <w:vAlign w:val="center"/>
          </w:tcPr>
          <w:p w14:paraId="23FF9444">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lang w:val="en-US" w:eastAsia="zh-CN"/>
              </w:rPr>
              <w:t>有效</w:t>
            </w:r>
          </w:p>
        </w:tc>
      </w:tr>
      <w:tr w14:paraId="6765A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438" w:type="dxa"/>
            <w:vMerge w:val="continue"/>
            <w:tcBorders>
              <w:tl2br w:val="nil"/>
              <w:tr2bl w:val="nil"/>
            </w:tcBorders>
            <w:noWrap w:val="0"/>
            <w:vAlign w:val="center"/>
          </w:tcPr>
          <w:p w14:paraId="78CCDB09">
            <w:pPr>
              <w:jc w:val="center"/>
              <w:rPr>
                <w:rFonts w:hint="default" w:ascii="TimesNewRoman" w:hAnsi="TimesNewRoman" w:cs="TimesNewRoman"/>
                <w:color w:val="000000"/>
                <w:sz w:val="20"/>
                <w:highlight w:val="none"/>
              </w:rPr>
            </w:pPr>
          </w:p>
        </w:tc>
        <w:tc>
          <w:tcPr>
            <w:tcW w:w="723" w:type="dxa"/>
            <w:vMerge w:val="continue"/>
            <w:tcBorders>
              <w:tl2br w:val="nil"/>
              <w:tr2bl w:val="nil"/>
            </w:tcBorders>
            <w:noWrap w:val="0"/>
            <w:vAlign w:val="center"/>
          </w:tcPr>
          <w:p w14:paraId="2A854DF1">
            <w:pPr>
              <w:jc w:val="center"/>
              <w:rPr>
                <w:rFonts w:hint="default" w:ascii="TimesNewRoman" w:hAnsi="TimesNewRoman" w:cs="TimesNewRoman"/>
                <w:color w:val="000000"/>
                <w:sz w:val="20"/>
                <w:highlight w:val="none"/>
              </w:rPr>
            </w:pPr>
          </w:p>
        </w:tc>
        <w:tc>
          <w:tcPr>
            <w:tcW w:w="759" w:type="dxa"/>
            <w:gridSpan w:val="2"/>
            <w:tcBorders>
              <w:tl2br w:val="nil"/>
              <w:tr2bl w:val="nil"/>
            </w:tcBorders>
            <w:noWrap w:val="0"/>
            <w:vAlign w:val="center"/>
          </w:tcPr>
          <w:p w14:paraId="1213B41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872" w:type="dxa"/>
            <w:tcBorders>
              <w:tl2br w:val="nil"/>
              <w:tr2bl w:val="nil"/>
            </w:tcBorders>
            <w:noWrap w:val="0"/>
            <w:vAlign w:val="center"/>
          </w:tcPr>
          <w:p w14:paraId="29199906">
            <w:pPr>
              <w:keepNext w:val="0"/>
              <w:keepLines w:val="0"/>
              <w:widowControl/>
              <w:suppressLineNumbers w:val="0"/>
              <w:jc w:val="left"/>
              <w:textAlignment w:val="center"/>
              <w:rPr>
                <w:rFonts w:hint="eastAsia" w:ascii="宋体" w:hAnsi="宋体" w:eastAsia="宋体" w:cs="宋体"/>
                <w:color w:val="000000"/>
                <w:sz w:val="20"/>
                <w:highlight w:val="none"/>
              </w:rPr>
            </w:pPr>
            <w:r>
              <w:rPr>
                <w:rFonts w:hint="eastAsia" w:ascii="宋体" w:hAnsi="宋体" w:eastAsia="宋体" w:cs="宋体"/>
                <w:i w:val="0"/>
                <w:color w:val="000000"/>
                <w:kern w:val="0"/>
                <w:sz w:val="20"/>
                <w:szCs w:val="20"/>
                <w:highlight w:val="none"/>
                <w:u w:val="none"/>
                <w:lang w:val="en-US" w:eastAsia="zh-CN" w:bidi="ar"/>
              </w:rPr>
              <w:t>涵养水源，减少地表径流，增加地面覆盖，防止土壤侵蚀，</w:t>
            </w:r>
          </w:p>
        </w:tc>
        <w:tc>
          <w:tcPr>
            <w:tcW w:w="4228" w:type="dxa"/>
            <w:gridSpan w:val="2"/>
            <w:tcBorders>
              <w:tl2br w:val="nil"/>
              <w:tr2bl w:val="nil"/>
            </w:tcBorders>
            <w:noWrap w:val="0"/>
            <w:vAlign w:val="center"/>
          </w:tcPr>
          <w:p w14:paraId="545D823B">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lang w:val="en-US" w:eastAsia="zh-CN"/>
              </w:rPr>
              <w:t>有效</w:t>
            </w:r>
          </w:p>
        </w:tc>
      </w:tr>
      <w:tr w14:paraId="2C2E4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438" w:type="dxa"/>
            <w:vMerge w:val="continue"/>
            <w:tcBorders>
              <w:tl2br w:val="nil"/>
              <w:tr2bl w:val="nil"/>
            </w:tcBorders>
            <w:noWrap w:val="0"/>
            <w:vAlign w:val="center"/>
          </w:tcPr>
          <w:p w14:paraId="433F001B">
            <w:pPr>
              <w:jc w:val="center"/>
              <w:rPr>
                <w:rFonts w:hint="default" w:ascii="TimesNewRoman" w:hAnsi="TimesNewRoman" w:cs="TimesNewRoman"/>
                <w:color w:val="000000"/>
                <w:sz w:val="20"/>
                <w:highlight w:val="none"/>
              </w:rPr>
            </w:pPr>
          </w:p>
        </w:tc>
        <w:tc>
          <w:tcPr>
            <w:tcW w:w="723" w:type="dxa"/>
            <w:vMerge w:val="continue"/>
            <w:tcBorders>
              <w:tl2br w:val="nil"/>
              <w:tr2bl w:val="nil"/>
            </w:tcBorders>
            <w:noWrap w:val="0"/>
            <w:vAlign w:val="center"/>
          </w:tcPr>
          <w:p w14:paraId="0071DE2D">
            <w:pPr>
              <w:jc w:val="center"/>
              <w:rPr>
                <w:rFonts w:hint="default" w:ascii="TimesNewRoman" w:hAnsi="TimesNewRoman" w:cs="TimesNewRoman"/>
                <w:color w:val="000000"/>
                <w:sz w:val="20"/>
                <w:highlight w:val="none"/>
              </w:rPr>
            </w:pPr>
          </w:p>
        </w:tc>
        <w:tc>
          <w:tcPr>
            <w:tcW w:w="759" w:type="dxa"/>
            <w:gridSpan w:val="2"/>
            <w:tcBorders>
              <w:tl2br w:val="nil"/>
              <w:tr2bl w:val="nil"/>
            </w:tcBorders>
            <w:noWrap w:val="0"/>
            <w:vAlign w:val="center"/>
          </w:tcPr>
          <w:p w14:paraId="672D1B7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color w:val="000000"/>
                <w:sz w:val="20"/>
                <w:highlight w:val="none"/>
              </w:rPr>
            </w:pPr>
            <w:r>
              <w:rPr>
                <w:rFonts w:hint="eastAsia" w:ascii="宋体" w:hAnsi="宋体" w:eastAsia="宋体" w:cs="宋体"/>
                <w:color w:val="000000"/>
                <w:sz w:val="20"/>
                <w:highlight w:val="none"/>
              </w:rPr>
              <w:t>可持续影响指标</w:t>
            </w:r>
          </w:p>
        </w:tc>
        <w:tc>
          <w:tcPr>
            <w:tcW w:w="2872" w:type="dxa"/>
            <w:tcBorders>
              <w:tl2br w:val="nil"/>
              <w:tr2bl w:val="nil"/>
            </w:tcBorders>
            <w:noWrap w:val="0"/>
            <w:vAlign w:val="center"/>
          </w:tcPr>
          <w:p w14:paraId="63B5A93D">
            <w:pPr>
              <w:keepNext w:val="0"/>
              <w:keepLines w:val="0"/>
              <w:widowControl/>
              <w:suppressLineNumbers w:val="0"/>
              <w:jc w:val="left"/>
              <w:textAlignment w:val="center"/>
              <w:rPr>
                <w:rFonts w:hint="default" w:ascii="宋体" w:hAnsi="宋体" w:eastAsia="宋体" w:cs="宋体"/>
                <w:color w:val="000000"/>
                <w:kern w:val="2"/>
                <w:sz w:val="20"/>
                <w:highlight w:val="none"/>
                <w:lang w:val="en-US" w:eastAsia="zh-CN" w:bidi="ar-SA"/>
              </w:rPr>
            </w:pPr>
            <w:r>
              <w:rPr>
                <w:rFonts w:hint="eastAsia" w:ascii="宋体" w:hAnsi="宋体" w:eastAsia="宋体" w:cs="宋体"/>
                <w:color w:val="000000"/>
                <w:kern w:val="2"/>
                <w:sz w:val="20"/>
                <w:highlight w:val="none"/>
                <w:lang w:val="en-US" w:eastAsia="zh-CN" w:bidi="ar-SA"/>
              </w:rPr>
              <w:t>植被覆盖度，持续提升生态系统</w:t>
            </w:r>
          </w:p>
        </w:tc>
        <w:tc>
          <w:tcPr>
            <w:tcW w:w="4228" w:type="dxa"/>
            <w:gridSpan w:val="2"/>
            <w:tcBorders>
              <w:tl2br w:val="nil"/>
              <w:tr2bl w:val="nil"/>
            </w:tcBorders>
            <w:noWrap w:val="0"/>
            <w:vAlign w:val="center"/>
          </w:tcPr>
          <w:p w14:paraId="4A969A53">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lang w:val="en-US" w:eastAsia="zh-CN"/>
              </w:rPr>
              <w:t>明显</w:t>
            </w:r>
          </w:p>
        </w:tc>
      </w:tr>
      <w:tr w14:paraId="7C403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438" w:type="dxa"/>
            <w:vMerge w:val="continue"/>
            <w:tcBorders>
              <w:tl2br w:val="nil"/>
              <w:tr2bl w:val="nil"/>
            </w:tcBorders>
            <w:noWrap w:val="0"/>
            <w:vAlign w:val="center"/>
          </w:tcPr>
          <w:p w14:paraId="48D633A1">
            <w:pPr>
              <w:jc w:val="center"/>
              <w:rPr>
                <w:rFonts w:hint="default" w:ascii="TimesNewRoman" w:hAnsi="TimesNewRoman" w:cs="TimesNewRoman"/>
                <w:color w:val="000000"/>
                <w:sz w:val="20"/>
                <w:highlight w:val="none"/>
              </w:rPr>
            </w:pPr>
          </w:p>
        </w:tc>
        <w:tc>
          <w:tcPr>
            <w:tcW w:w="723" w:type="dxa"/>
            <w:tcBorders>
              <w:tl2br w:val="nil"/>
              <w:tr2bl w:val="nil"/>
            </w:tcBorders>
            <w:noWrap w:val="0"/>
            <w:vAlign w:val="center"/>
          </w:tcPr>
          <w:p w14:paraId="57ABFAD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NewRoman" w:hAnsi="TimesNewRoman" w:eastAsia="宋体" w:cs="TimesNewRoman"/>
                <w:color w:val="000000"/>
                <w:sz w:val="20"/>
                <w:highlight w:val="none"/>
                <w:lang w:eastAsia="zh-CN"/>
              </w:rPr>
            </w:pPr>
            <w:r>
              <w:rPr>
                <w:rFonts w:hint="default" w:ascii="TimesNewRoman" w:hAnsi="TimesNewRoman" w:eastAsia="宋体" w:cs="TimesNewRoman"/>
                <w:color w:val="000000"/>
                <w:sz w:val="20"/>
                <w:highlight w:val="none"/>
                <w:lang w:eastAsia="zh-CN"/>
              </w:rPr>
              <w:t>满意度指标</w:t>
            </w:r>
          </w:p>
        </w:tc>
        <w:tc>
          <w:tcPr>
            <w:tcW w:w="759" w:type="dxa"/>
            <w:gridSpan w:val="2"/>
            <w:tcBorders>
              <w:tl2br w:val="nil"/>
              <w:tr2bl w:val="nil"/>
            </w:tcBorders>
            <w:noWrap w:val="0"/>
            <w:vAlign w:val="center"/>
          </w:tcPr>
          <w:p w14:paraId="3ABED86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color w:val="000000"/>
                <w:sz w:val="20"/>
                <w:highlight w:val="none"/>
                <w:lang w:eastAsia="zh-CN"/>
              </w:rPr>
            </w:pPr>
            <w:r>
              <w:rPr>
                <w:rFonts w:hint="eastAsia" w:ascii="宋体" w:hAnsi="宋体" w:eastAsia="宋体" w:cs="宋体"/>
                <w:color w:val="000000"/>
                <w:sz w:val="20"/>
                <w:highlight w:val="none"/>
                <w:lang w:eastAsia="zh-CN"/>
              </w:rPr>
              <w:t>满意度指标</w:t>
            </w:r>
          </w:p>
        </w:tc>
        <w:tc>
          <w:tcPr>
            <w:tcW w:w="2872" w:type="dxa"/>
            <w:tcBorders>
              <w:tl2br w:val="nil"/>
              <w:tr2bl w:val="nil"/>
            </w:tcBorders>
            <w:noWrap w:val="0"/>
            <w:vAlign w:val="center"/>
          </w:tcPr>
          <w:p w14:paraId="01E61F70">
            <w:pPr>
              <w:keepNext w:val="0"/>
              <w:keepLines w:val="0"/>
              <w:widowControl/>
              <w:suppressLineNumbers w:val="0"/>
              <w:jc w:val="left"/>
              <w:textAlignment w:val="center"/>
              <w:rPr>
                <w:rFonts w:hint="eastAsia" w:ascii="宋体" w:hAnsi="宋体" w:eastAsia="宋体" w:cs="宋体"/>
                <w:color w:val="000000"/>
                <w:kern w:val="2"/>
                <w:sz w:val="20"/>
                <w:highlight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服务对象和群众满意。</w:t>
            </w:r>
          </w:p>
        </w:tc>
        <w:tc>
          <w:tcPr>
            <w:tcW w:w="4228" w:type="dxa"/>
            <w:gridSpan w:val="2"/>
            <w:tcBorders>
              <w:tl2br w:val="nil"/>
              <w:tr2bl w:val="nil"/>
            </w:tcBorders>
            <w:noWrap w:val="0"/>
            <w:vAlign w:val="center"/>
          </w:tcPr>
          <w:p w14:paraId="3816EF8A">
            <w:pPr>
              <w:jc w:val="center"/>
              <w:rPr>
                <w:rFonts w:hint="eastAsia" w:ascii="宋体" w:hAnsi="宋体" w:eastAsia="宋体" w:cs="宋体"/>
                <w:color w:val="000000"/>
                <w:sz w:val="20"/>
                <w:highlight w:val="none"/>
              </w:rPr>
            </w:pPr>
            <w:r>
              <w:rPr>
                <w:rFonts w:hint="eastAsia" w:ascii="宋体" w:hAnsi="宋体" w:eastAsia="宋体" w:cs="宋体"/>
                <w:color w:val="000000"/>
                <w:sz w:val="20"/>
                <w:highlight w:val="none"/>
                <w:lang w:val="en-US" w:eastAsia="zh-CN"/>
              </w:rPr>
              <w:t>≥90%</w:t>
            </w:r>
          </w:p>
        </w:tc>
      </w:tr>
    </w:tbl>
    <w:p w14:paraId="018CDA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imesNewRoman">
    <w:altName w:val="Segoe Print"/>
    <w:panose1 w:val="02020603050405020304"/>
    <w:charset w:val="00"/>
    <w:family w:val="auto"/>
    <w:pitch w:val="default"/>
    <w:sig w:usb0="00000000" w:usb1="00000000" w:usb2="00000029" w:usb3="00000000" w:csb0="600001FF" w:csb1="FFFF0000"/>
  </w:font>
  <w:font w:name="DejaVu Sans">
    <w:altName w:val="Segoe Print"/>
    <w:panose1 w:val="020B0603030804020204"/>
    <w:charset w:val="00"/>
    <w:family w:val="auto"/>
    <w:pitch w:val="default"/>
    <w:sig w:usb0="00000000" w:usb1="00000000" w:usb2="0A246029" w:usb3="0400200C" w:csb0="600001FF" w:csb1="DFFF0000"/>
  </w:font>
  <w:font w:name="汉仪中秀体简">
    <w:altName w:val="宋体"/>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mMzk2Y2ZlMTNkYjU3YmJiYTRhNDQzYWY0OWRmNzMifQ=="/>
  </w:docVars>
  <w:rsids>
    <w:rsidRoot w:val="6F771660"/>
    <w:rsid w:val="005D5B05"/>
    <w:rsid w:val="02C44E8F"/>
    <w:rsid w:val="260A23F9"/>
    <w:rsid w:val="3F5D529A"/>
    <w:rsid w:val="6F771660"/>
    <w:rsid w:val="7DCF3C5E"/>
    <w:rsid w:val="7E729926"/>
    <w:rsid w:val="EE343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1166</Words>
  <Characters>1189</Characters>
  <Lines>0</Lines>
  <Paragraphs>0</Paragraphs>
  <TotalTime>5</TotalTime>
  <ScaleCrop>false</ScaleCrop>
  <LinksUpToDate>false</LinksUpToDate>
  <CharactersWithSpaces>1255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2024-02-19T16:49:00Z</dcterms:created>
  <dc:creator>胡晓茜</dc:creator>
  <cp:lastModifiedBy>胡晓茜</cp:lastModifiedBy>
  <cp:lastPrinted>2025-11-24T06:51:03Z</cp:lastPrinted>
  <dcterms:modified xsi:type="dcterms:W3CDTF">2025-11-24T06:52:39Z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52E6ABDE0D344329A52A17F3F26892C3_11</vt:lpwstr>
  </property>
  <property fmtid="{D5CDD505-2E9C-101B-9397-08002B2CF9AE}" pid="4" name="KSOTemplateDocerSaveRecord">
    <vt:lpwstr>eyJoZGlkIjoiODZmMzk2Y2ZlMTNkYjU3YmJiYTRhNDQzYWY0OWRmNzMiLCJ1c2VySWQiOiIyMjM1MzYzNzEifQ==</vt:lpwstr>
  </property>
</Properties>
</file>