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8"/>
        <w:gridCol w:w="723"/>
        <w:gridCol w:w="282"/>
        <w:gridCol w:w="477"/>
        <w:gridCol w:w="2872"/>
        <w:gridCol w:w="1848"/>
        <w:gridCol w:w="2380"/>
      </w:tblGrid>
      <w:tr w14:paraId="4E83B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020" w:type="dxa"/>
            <w:gridSpan w:val="7"/>
            <w:tcBorders>
              <w:top w:val="nil"/>
              <w:left w:val="nil"/>
              <w:bottom w:val="nil"/>
              <w:right w:val="nil"/>
            </w:tcBorders>
            <w:noWrap w:val="0"/>
            <w:vAlign w:val="center"/>
          </w:tcPr>
          <w:p w14:paraId="1378E158">
            <w:pPr>
              <w:keepNext w:val="0"/>
              <w:keepLines w:val="0"/>
              <w:widowControl/>
              <w:suppressLineNumbers w:val="0"/>
              <w:jc w:val="center"/>
              <w:textAlignment w:val="center"/>
              <w:rPr>
                <w:rFonts w:hint="eastAsia" w:ascii="仿宋" w:hAnsi="仿宋" w:eastAsia="仿宋" w:cs="仿宋"/>
                <w:b/>
                <w:bCs/>
                <w:color w:val="000000"/>
                <w:szCs w:val="32"/>
                <w:highlight w:val="none"/>
              </w:rPr>
            </w:pPr>
            <w:r>
              <w:rPr>
                <w:rFonts w:hint="eastAsia" w:ascii="仿宋" w:hAnsi="仿宋" w:eastAsia="仿宋" w:cs="仿宋"/>
                <w:b/>
                <w:i w:val="0"/>
                <w:color w:val="000000"/>
                <w:kern w:val="0"/>
                <w:sz w:val="28"/>
                <w:szCs w:val="28"/>
                <w:highlight w:val="none"/>
                <w:u w:val="none"/>
                <w:lang w:val="en-US" w:eastAsia="zh-CN" w:bidi="ar"/>
              </w:rPr>
              <w:t>项目支出绩效目标表</w:t>
            </w:r>
          </w:p>
        </w:tc>
      </w:tr>
      <w:tr w14:paraId="76237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20" w:type="dxa"/>
            <w:gridSpan w:val="7"/>
            <w:tcBorders>
              <w:top w:val="nil"/>
              <w:left w:val="nil"/>
              <w:right w:val="nil"/>
            </w:tcBorders>
            <w:noWrap w:val="0"/>
            <w:vAlign w:val="center"/>
          </w:tcPr>
          <w:p w14:paraId="3A9B9770">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w:t>
            </w:r>
            <w:r>
              <w:rPr>
                <w:rFonts w:hint="eastAsia" w:ascii="仿宋" w:hAnsi="仿宋" w:eastAsia="仿宋" w:cs="仿宋"/>
                <w:i w:val="0"/>
                <w:color w:val="000000"/>
                <w:kern w:val="0"/>
                <w:sz w:val="20"/>
                <w:szCs w:val="20"/>
                <w:highlight w:val="none"/>
                <w:u w:val="none"/>
                <w:lang w:val="en" w:eastAsia="zh-CN" w:bidi="ar"/>
              </w:rPr>
              <w:t>2026</w:t>
            </w:r>
            <w:r>
              <w:rPr>
                <w:rFonts w:hint="eastAsia" w:ascii="仿宋" w:hAnsi="仿宋" w:eastAsia="仿宋" w:cs="仿宋"/>
                <w:i w:val="0"/>
                <w:color w:val="000000"/>
                <w:kern w:val="0"/>
                <w:sz w:val="20"/>
                <w:szCs w:val="20"/>
                <w:highlight w:val="none"/>
                <w:u w:val="none"/>
                <w:lang w:val="en-US" w:eastAsia="zh-CN" w:bidi="ar"/>
              </w:rPr>
              <w:t xml:space="preserve">年度）                                </w:t>
            </w:r>
          </w:p>
        </w:tc>
      </w:tr>
      <w:tr w14:paraId="7C840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tcBorders>
              <w:tl2br w:val="nil"/>
              <w:tr2bl w:val="nil"/>
            </w:tcBorders>
            <w:noWrap w:val="0"/>
            <w:vAlign w:val="center"/>
          </w:tcPr>
          <w:p w14:paraId="74AFFC20">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项目名称</w:t>
            </w:r>
          </w:p>
        </w:tc>
        <w:tc>
          <w:tcPr>
            <w:tcW w:w="7577" w:type="dxa"/>
            <w:gridSpan w:val="4"/>
            <w:tcBorders>
              <w:tl2br w:val="nil"/>
              <w:tr2bl w:val="nil"/>
            </w:tcBorders>
            <w:noWrap w:val="0"/>
            <w:vAlign w:val="center"/>
          </w:tcPr>
          <w:p w14:paraId="7FBA5FA0">
            <w:pPr>
              <w:jc w:val="center"/>
              <w:rPr>
                <w:rFonts w:hint="eastAsia" w:ascii="仿宋" w:hAnsi="仿宋" w:eastAsia="仿宋" w:cs="仿宋"/>
                <w:color w:val="000000"/>
                <w:sz w:val="20"/>
                <w:highlight w:val="none"/>
              </w:rPr>
            </w:pPr>
            <w:r>
              <w:rPr>
                <w:rFonts w:hint="eastAsia" w:ascii="仿宋" w:hAnsi="仿宋" w:eastAsia="仿宋" w:cs="仿宋"/>
                <w:color w:val="000000"/>
                <w:sz w:val="20"/>
                <w:highlight w:val="none"/>
              </w:rPr>
              <w:t>淮南市排灌总站管理专项经费</w:t>
            </w:r>
          </w:p>
        </w:tc>
      </w:tr>
      <w:tr w14:paraId="7F7B0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443" w:type="dxa"/>
            <w:gridSpan w:val="3"/>
            <w:tcBorders>
              <w:tl2br w:val="nil"/>
              <w:tr2bl w:val="nil"/>
            </w:tcBorders>
            <w:noWrap w:val="0"/>
            <w:vAlign w:val="center"/>
          </w:tcPr>
          <w:p w14:paraId="7428965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主管部门   及代码</w:t>
            </w:r>
          </w:p>
        </w:tc>
        <w:tc>
          <w:tcPr>
            <w:tcW w:w="3349" w:type="dxa"/>
            <w:gridSpan w:val="2"/>
            <w:tcBorders>
              <w:tl2br w:val="nil"/>
              <w:tr2bl w:val="nil"/>
            </w:tcBorders>
            <w:noWrap w:val="0"/>
            <w:vAlign w:val="center"/>
          </w:tcPr>
          <w:p w14:paraId="70BADA76">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淮南市水利局109</w:t>
            </w:r>
          </w:p>
        </w:tc>
        <w:tc>
          <w:tcPr>
            <w:tcW w:w="1848" w:type="dxa"/>
            <w:tcBorders>
              <w:tl2br w:val="nil"/>
              <w:tr2bl w:val="nil"/>
            </w:tcBorders>
            <w:noWrap w:val="0"/>
            <w:vAlign w:val="center"/>
          </w:tcPr>
          <w:p w14:paraId="734DBB52">
            <w:pPr>
              <w:keepNext w:val="0"/>
              <w:keepLines w:val="0"/>
              <w:widowControl/>
              <w:suppressLineNumbers w:val="0"/>
              <w:jc w:val="center"/>
              <w:textAlignment w:val="center"/>
              <w:rPr>
                <w:rFonts w:hint="eastAsia" w:ascii="仿宋" w:hAnsi="仿宋" w:eastAsia="仿宋" w:cs="仿宋"/>
                <w:color w:val="000000"/>
                <w:highlight w:val="none"/>
              </w:rPr>
            </w:pPr>
            <w:r>
              <w:rPr>
                <w:rFonts w:hint="eastAsia" w:ascii="仿宋" w:hAnsi="仿宋" w:eastAsia="仿宋" w:cs="仿宋"/>
                <w:i w:val="0"/>
                <w:color w:val="000000"/>
                <w:kern w:val="0"/>
                <w:sz w:val="20"/>
                <w:szCs w:val="20"/>
                <w:highlight w:val="none"/>
                <w:u w:val="none"/>
                <w:lang w:val="en-US" w:eastAsia="zh-CN" w:bidi="ar"/>
              </w:rPr>
              <w:t>实施单位</w:t>
            </w:r>
          </w:p>
        </w:tc>
        <w:tc>
          <w:tcPr>
            <w:tcW w:w="2380" w:type="dxa"/>
            <w:tcBorders>
              <w:tl2br w:val="nil"/>
              <w:tr2bl w:val="nil"/>
            </w:tcBorders>
            <w:noWrap w:val="0"/>
            <w:vAlign w:val="center"/>
          </w:tcPr>
          <w:p w14:paraId="5CA0EFDB">
            <w:pPr>
              <w:jc w:val="center"/>
              <w:rPr>
                <w:rFonts w:hint="eastAsia" w:ascii="仿宋" w:hAnsi="仿宋" w:eastAsia="仿宋" w:cs="仿宋"/>
                <w:color w:val="000000"/>
                <w:highlight w:val="none"/>
                <w:lang w:val="en-US" w:eastAsia="zh-CN"/>
              </w:rPr>
            </w:pPr>
            <w:r>
              <w:rPr>
                <w:rFonts w:hint="eastAsia" w:ascii="仿宋" w:hAnsi="仿宋" w:eastAsia="仿宋" w:cs="仿宋"/>
                <w:color w:val="000000"/>
                <w:sz w:val="20"/>
                <w:highlight w:val="none"/>
                <w:lang w:val="en-US" w:eastAsia="zh-CN"/>
              </w:rPr>
              <w:t>淮南市排灌总站</w:t>
            </w:r>
          </w:p>
        </w:tc>
      </w:tr>
      <w:tr w14:paraId="2A334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tcBorders>
              <w:tl2br w:val="nil"/>
              <w:tr2bl w:val="nil"/>
            </w:tcBorders>
            <w:noWrap w:val="0"/>
            <w:vAlign w:val="center"/>
          </w:tcPr>
          <w:p w14:paraId="01FCC441">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项目来源</w:t>
            </w:r>
          </w:p>
        </w:tc>
        <w:tc>
          <w:tcPr>
            <w:tcW w:w="3349" w:type="dxa"/>
            <w:gridSpan w:val="2"/>
            <w:tcBorders>
              <w:tl2br w:val="nil"/>
              <w:tr2bl w:val="nil"/>
            </w:tcBorders>
            <w:noWrap w:val="0"/>
            <w:vAlign w:val="center"/>
          </w:tcPr>
          <w:p w14:paraId="57693EC4">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本级申报项目</w:t>
            </w:r>
          </w:p>
        </w:tc>
        <w:tc>
          <w:tcPr>
            <w:tcW w:w="1848" w:type="dxa"/>
            <w:tcBorders>
              <w:tl2br w:val="nil"/>
              <w:tr2bl w:val="nil"/>
            </w:tcBorders>
            <w:noWrap w:val="0"/>
            <w:vAlign w:val="center"/>
          </w:tcPr>
          <w:p w14:paraId="734C188A">
            <w:pPr>
              <w:keepNext w:val="0"/>
              <w:keepLines w:val="0"/>
              <w:widowControl/>
              <w:suppressLineNumbers w:val="0"/>
              <w:jc w:val="center"/>
              <w:textAlignment w:val="center"/>
              <w:rPr>
                <w:rFonts w:hint="eastAsia" w:ascii="仿宋" w:hAnsi="仿宋" w:eastAsia="仿宋" w:cs="仿宋"/>
                <w:color w:val="000000"/>
                <w:highlight w:val="none"/>
              </w:rPr>
            </w:pPr>
            <w:r>
              <w:rPr>
                <w:rFonts w:hint="eastAsia" w:ascii="仿宋" w:hAnsi="仿宋" w:eastAsia="仿宋" w:cs="仿宋"/>
                <w:i w:val="0"/>
                <w:color w:val="000000"/>
                <w:kern w:val="0"/>
                <w:sz w:val="20"/>
                <w:szCs w:val="20"/>
                <w:highlight w:val="none"/>
                <w:u w:val="none"/>
                <w:lang w:val="en-US" w:eastAsia="zh-CN" w:bidi="ar"/>
              </w:rPr>
              <w:t>项目期</w:t>
            </w:r>
          </w:p>
        </w:tc>
        <w:tc>
          <w:tcPr>
            <w:tcW w:w="2380" w:type="dxa"/>
            <w:tcBorders>
              <w:tl2br w:val="nil"/>
              <w:tr2bl w:val="nil"/>
            </w:tcBorders>
            <w:noWrap w:val="0"/>
            <w:vAlign w:val="center"/>
          </w:tcPr>
          <w:p w14:paraId="69E86B14">
            <w:pPr>
              <w:jc w:val="center"/>
              <w:rPr>
                <w:rFonts w:hint="eastAsia" w:ascii="仿宋" w:hAnsi="仿宋" w:eastAsia="仿宋" w:cs="仿宋"/>
                <w:color w:val="000000"/>
                <w:highlight w:val="none"/>
                <w:lang w:val="en-US" w:eastAsia="zh-CN"/>
              </w:rPr>
            </w:pPr>
            <w:r>
              <w:rPr>
                <w:rFonts w:hint="eastAsia" w:ascii="仿宋" w:hAnsi="仿宋" w:eastAsia="仿宋" w:cs="仿宋"/>
                <w:color w:val="000000"/>
                <w:sz w:val="20"/>
                <w:highlight w:val="none"/>
                <w:lang w:val="en-US" w:eastAsia="zh-CN"/>
              </w:rPr>
              <w:t>长期</w:t>
            </w:r>
          </w:p>
        </w:tc>
      </w:tr>
      <w:tr w14:paraId="37F10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restart"/>
            <w:tcBorders>
              <w:tl2br w:val="nil"/>
              <w:tr2bl w:val="nil"/>
            </w:tcBorders>
            <w:noWrap w:val="0"/>
            <w:vAlign w:val="center"/>
          </w:tcPr>
          <w:p w14:paraId="20A7EDB5">
            <w:pPr>
              <w:keepNext w:val="0"/>
              <w:keepLines w:val="0"/>
              <w:widowControl/>
              <w:suppressLineNumbers w:val="0"/>
              <w:jc w:val="center"/>
              <w:textAlignment w:val="center"/>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项目资金</w:t>
            </w:r>
          </w:p>
          <w:p w14:paraId="0D3F2A4D">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（万元）</w:t>
            </w:r>
          </w:p>
        </w:tc>
        <w:tc>
          <w:tcPr>
            <w:tcW w:w="3349" w:type="dxa"/>
            <w:gridSpan w:val="2"/>
            <w:tcBorders>
              <w:tl2br w:val="nil"/>
              <w:tr2bl w:val="nil"/>
            </w:tcBorders>
            <w:noWrap w:val="0"/>
            <w:vAlign w:val="center"/>
          </w:tcPr>
          <w:p w14:paraId="74609B19">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年度资金总额：</w:t>
            </w:r>
          </w:p>
        </w:tc>
        <w:tc>
          <w:tcPr>
            <w:tcW w:w="4228" w:type="dxa"/>
            <w:gridSpan w:val="2"/>
            <w:tcBorders>
              <w:tl2br w:val="nil"/>
              <w:tr2bl w:val="nil"/>
            </w:tcBorders>
            <w:noWrap w:val="0"/>
            <w:vAlign w:val="center"/>
          </w:tcPr>
          <w:p w14:paraId="0D6D282C">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18.2万元</w:t>
            </w:r>
          </w:p>
        </w:tc>
      </w:tr>
      <w:tr w14:paraId="46809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08528BB7">
            <w:pPr>
              <w:jc w:val="center"/>
              <w:rPr>
                <w:rFonts w:hint="eastAsia" w:ascii="仿宋" w:hAnsi="仿宋" w:eastAsia="仿宋" w:cs="仿宋"/>
                <w:color w:val="000000"/>
                <w:sz w:val="20"/>
                <w:highlight w:val="none"/>
              </w:rPr>
            </w:pPr>
          </w:p>
        </w:tc>
        <w:tc>
          <w:tcPr>
            <w:tcW w:w="3349" w:type="dxa"/>
            <w:gridSpan w:val="2"/>
            <w:tcBorders>
              <w:tl2br w:val="nil"/>
              <w:tr2bl w:val="nil"/>
            </w:tcBorders>
            <w:noWrap w:val="0"/>
            <w:vAlign w:val="center"/>
          </w:tcPr>
          <w:p w14:paraId="50451C3E">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其中：财政拨款</w:t>
            </w:r>
          </w:p>
        </w:tc>
        <w:tc>
          <w:tcPr>
            <w:tcW w:w="4228" w:type="dxa"/>
            <w:gridSpan w:val="2"/>
            <w:tcBorders>
              <w:tl2br w:val="nil"/>
              <w:tr2bl w:val="nil"/>
            </w:tcBorders>
            <w:noWrap w:val="0"/>
            <w:vAlign w:val="center"/>
          </w:tcPr>
          <w:p w14:paraId="6B58B143">
            <w:pPr>
              <w:jc w:val="center"/>
              <w:rPr>
                <w:rFonts w:hint="eastAsia" w:ascii="仿宋" w:hAnsi="仿宋" w:eastAsia="仿宋" w:cs="仿宋"/>
                <w:color w:val="000000"/>
                <w:kern w:val="2"/>
                <w:sz w:val="20"/>
                <w:highlight w:val="none"/>
                <w:lang w:val="en-US" w:eastAsia="zh-CN" w:bidi="ar-SA"/>
              </w:rPr>
            </w:pPr>
            <w:r>
              <w:rPr>
                <w:rFonts w:hint="eastAsia" w:ascii="仿宋" w:hAnsi="仿宋" w:eastAsia="仿宋" w:cs="仿宋"/>
                <w:color w:val="000000"/>
                <w:sz w:val="20"/>
                <w:highlight w:val="none"/>
                <w:lang w:val="en-US" w:eastAsia="zh-CN"/>
              </w:rPr>
              <w:t>18.2万元</w:t>
            </w:r>
          </w:p>
        </w:tc>
      </w:tr>
      <w:tr w14:paraId="5CBB5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525AD7CB">
            <w:pPr>
              <w:jc w:val="center"/>
              <w:rPr>
                <w:rFonts w:hint="eastAsia" w:ascii="仿宋" w:hAnsi="仿宋" w:eastAsia="仿宋" w:cs="仿宋"/>
                <w:color w:val="000000"/>
                <w:sz w:val="20"/>
                <w:highlight w:val="none"/>
              </w:rPr>
            </w:pPr>
          </w:p>
        </w:tc>
        <w:tc>
          <w:tcPr>
            <w:tcW w:w="3349" w:type="dxa"/>
            <w:gridSpan w:val="2"/>
            <w:tcBorders>
              <w:tl2br w:val="nil"/>
              <w:tr2bl w:val="nil"/>
            </w:tcBorders>
            <w:noWrap w:val="0"/>
            <w:vAlign w:val="center"/>
          </w:tcPr>
          <w:p w14:paraId="10FEF23C">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上年结转</w:t>
            </w:r>
          </w:p>
        </w:tc>
        <w:tc>
          <w:tcPr>
            <w:tcW w:w="4228" w:type="dxa"/>
            <w:gridSpan w:val="2"/>
            <w:tcBorders>
              <w:tl2br w:val="nil"/>
              <w:tr2bl w:val="nil"/>
            </w:tcBorders>
            <w:noWrap w:val="0"/>
            <w:vAlign w:val="center"/>
          </w:tcPr>
          <w:p w14:paraId="34FA2D69">
            <w:pPr>
              <w:jc w:val="center"/>
              <w:rPr>
                <w:rFonts w:hint="eastAsia" w:ascii="仿宋" w:hAnsi="仿宋" w:eastAsia="仿宋" w:cs="仿宋"/>
                <w:color w:val="000000"/>
                <w:sz w:val="20"/>
                <w:highlight w:val="none"/>
              </w:rPr>
            </w:pPr>
          </w:p>
        </w:tc>
      </w:tr>
      <w:tr w14:paraId="67D3B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43" w:type="dxa"/>
            <w:gridSpan w:val="3"/>
            <w:vMerge w:val="continue"/>
            <w:tcBorders>
              <w:tl2br w:val="nil"/>
              <w:tr2bl w:val="nil"/>
            </w:tcBorders>
            <w:noWrap w:val="0"/>
            <w:vAlign w:val="center"/>
          </w:tcPr>
          <w:p w14:paraId="6B8CDD75">
            <w:pPr>
              <w:jc w:val="center"/>
              <w:rPr>
                <w:rFonts w:hint="eastAsia" w:ascii="仿宋" w:hAnsi="仿宋" w:eastAsia="仿宋" w:cs="仿宋"/>
                <w:color w:val="000000"/>
                <w:sz w:val="20"/>
                <w:highlight w:val="none"/>
              </w:rPr>
            </w:pPr>
          </w:p>
        </w:tc>
        <w:tc>
          <w:tcPr>
            <w:tcW w:w="3349" w:type="dxa"/>
            <w:gridSpan w:val="2"/>
            <w:tcBorders>
              <w:tl2br w:val="nil"/>
              <w:tr2bl w:val="nil"/>
            </w:tcBorders>
            <w:noWrap w:val="0"/>
            <w:vAlign w:val="center"/>
          </w:tcPr>
          <w:p w14:paraId="69F40BFE">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 xml:space="preserve">         其他资金</w:t>
            </w:r>
          </w:p>
        </w:tc>
        <w:tc>
          <w:tcPr>
            <w:tcW w:w="4228" w:type="dxa"/>
            <w:gridSpan w:val="2"/>
            <w:tcBorders>
              <w:tl2br w:val="nil"/>
              <w:tr2bl w:val="nil"/>
            </w:tcBorders>
            <w:noWrap w:val="0"/>
            <w:vAlign w:val="center"/>
          </w:tcPr>
          <w:p w14:paraId="6F7EF25C">
            <w:pPr>
              <w:jc w:val="right"/>
              <w:rPr>
                <w:rFonts w:hint="eastAsia" w:ascii="仿宋" w:hAnsi="仿宋" w:eastAsia="仿宋" w:cs="仿宋"/>
                <w:color w:val="000000"/>
                <w:sz w:val="20"/>
                <w:highlight w:val="none"/>
              </w:rPr>
            </w:pPr>
          </w:p>
        </w:tc>
      </w:tr>
      <w:tr w14:paraId="486F3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38" w:type="dxa"/>
            <w:tcBorders>
              <w:tl2br w:val="nil"/>
              <w:tr2bl w:val="nil"/>
            </w:tcBorders>
            <w:noWrap w:val="0"/>
            <w:vAlign w:val="center"/>
          </w:tcPr>
          <w:p w14:paraId="2FB263F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年度</w:t>
            </w:r>
          </w:p>
          <w:p w14:paraId="0595D29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目标</w:t>
            </w:r>
          </w:p>
        </w:tc>
        <w:tc>
          <w:tcPr>
            <w:tcW w:w="8582" w:type="dxa"/>
            <w:gridSpan w:val="6"/>
            <w:tcBorders>
              <w:tl2br w:val="nil"/>
              <w:tr2bl w:val="nil"/>
            </w:tcBorders>
            <w:noWrap w:val="0"/>
            <w:vAlign w:val="center"/>
          </w:tcPr>
          <w:p w14:paraId="699DBD8A">
            <w:pPr>
              <w:jc w:val="left"/>
              <w:rPr>
                <w:rFonts w:hint="eastAsia" w:ascii="仿宋" w:hAnsi="仿宋" w:eastAsia="仿宋" w:cs="仿宋"/>
                <w:color w:val="000000"/>
                <w:sz w:val="20"/>
                <w:highlight w:val="none"/>
              </w:rPr>
            </w:pPr>
            <w:r>
              <w:rPr>
                <w:rFonts w:hint="eastAsia" w:ascii="仿宋" w:hAnsi="仿宋" w:eastAsia="仿宋" w:cs="仿宋"/>
                <w:color w:val="000000"/>
                <w:sz w:val="20"/>
                <w:highlight w:val="none"/>
              </w:rPr>
              <w:t>一、大中型泵站管理考核，包括对各县区大中型泵站申报管理单位的考核等。                                                                             二、泵站管理能力建设：包括规划编制全市泵站规范化标准化管理建设的专业方案；提升和完善大中型泵站软硬件设施建设，提升高效科学的管理能力；于汛前汛后对直管泵站的机电设备及水工建筑物进行检测和更新改造，夯实泵站安全运行的基础；开展大中型泵站管理研究和交流；对实施技改后的大中型泵站进行安全鉴定；开展泵站安全生产能力建设，用工程措施和非工程措施消除安全隐患；开展泵站水法规等法律法规宣传，以及文明创建工作等。</w:t>
            </w:r>
          </w:p>
          <w:p w14:paraId="25A0DBB3">
            <w:pPr>
              <w:jc w:val="left"/>
              <w:rPr>
                <w:rFonts w:hint="eastAsia" w:ascii="仿宋" w:hAnsi="仿宋" w:eastAsia="仿宋" w:cs="仿宋"/>
                <w:color w:val="000000"/>
                <w:sz w:val="20"/>
                <w:highlight w:val="none"/>
              </w:rPr>
            </w:pPr>
            <w:bookmarkStart w:id="0" w:name="_GoBack"/>
            <w:bookmarkEnd w:id="0"/>
            <w:r>
              <w:rPr>
                <w:rFonts w:hint="eastAsia" w:ascii="仿宋" w:hAnsi="仿宋" w:eastAsia="仿宋" w:cs="仿宋"/>
                <w:color w:val="000000"/>
                <w:sz w:val="20"/>
                <w:highlight w:val="none"/>
              </w:rPr>
              <w:t xml:space="preserve">三、泵站工程技术培训、咨询、推广服务：根据安徽省机电排灌总站主要职责要求，重点开展泵站工程技术交流、成果推广及咨询服务，包括组织专题技术研讨会、现场观摩交流、新技术新工艺应用指导；结合实际工作需要，通过编制培训资料、邀请专家授课等方式，对各县区及市直大中型泵站一线管理人员开展集中培训，经费使用严格遵照《淮南市市直机关培训经费管理规定》（淮财行政〔2018〕939号）执行。            </w:t>
            </w:r>
          </w:p>
        </w:tc>
      </w:tr>
      <w:tr w14:paraId="3A546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438" w:type="dxa"/>
            <w:vMerge w:val="restart"/>
            <w:tcBorders>
              <w:tl2br w:val="nil"/>
              <w:tr2bl w:val="nil"/>
            </w:tcBorders>
            <w:noWrap w:val="0"/>
            <w:vAlign w:val="center"/>
          </w:tcPr>
          <w:p w14:paraId="4477E6E6">
            <w:pPr>
              <w:keepNext w:val="0"/>
              <w:keepLines w:val="0"/>
              <w:widowControl/>
              <w:suppressLineNumbers w:val="0"/>
              <w:jc w:val="center"/>
              <w:textAlignment w:val="center"/>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绩</w:t>
            </w:r>
          </w:p>
          <w:p w14:paraId="1C1AF3FE">
            <w:pPr>
              <w:keepNext w:val="0"/>
              <w:keepLines w:val="0"/>
              <w:widowControl/>
              <w:suppressLineNumbers w:val="0"/>
              <w:jc w:val="center"/>
              <w:textAlignment w:val="center"/>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效</w:t>
            </w:r>
          </w:p>
          <w:p w14:paraId="3016BAAE">
            <w:pPr>
              <w:keepNext w:val="0"/>
              <w:keepLines w:val="0"/>
              <w:widowControl/>
              <w:suppressLineNumbers w:val="0"/>
              <w:jc w:val="center"/>
              <w:textAlignment w:val="center"/>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指</w:t>
            </w:r>
          </w:p>
          <w:p w14:paraId="10708B62">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标</w:t>
            </w:r>
          </w:p>
        </w:tc>
        <w:tc>
          <w:tcPr>
            <w:tcW w:w="723" w:type="dxa"/>
            <w:tcBorders>
              <w:tl2br w:val="nil"/>
              <w:tr2bl w:val="nil"/>
            </w:tcBorders>
            <w:noWrap w:val="0"/>
            <w:vAlign w:val="center"/>
          </w:tcPr>
          <w:p w14:paraId="153AD48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一级</w:t>
            </w:r>
          </w:p>
          <w:p w14:paraId="73E830A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w:t>
            </w:r>
          </w:p>
        </w:tc>
        <w:tc>
          <w:tcPr>
            <w:tcW w:w="759" w:type="dxa"/>
            <w:gridSpan w:val="2"/>
            <w:tcBorders>
              <w:tl2br w:val="nil"/>
              <w:tr2bl w:val="nil"/>
            </w:tcBorders>
            <w:noWrap w:val="0"/>
            <w:vAlign w:val="center"/>
          </w:tcPr>
          <w:p w14:paraId="28BCCBF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二级指标</w:t>
            </w:r>
          </w:p>
        </w:tc>
        <w:tc>
          <w:tcPr>
            <w:tcW w:w="2872" w:type="dxa"/>
            <w:tcBorders>
              <w:tl2br w:val="nil"/>
              <w:tr2bl w:val="nil"/>
            </w:tcBorders>
            <w:noWrap w:val="0"/>
            <w:vAlign w:val="center"/>
          </w:tcPr>
          <w:p w14:paraId="46144FBA">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三级指标</w:t>
            </w:r>
          </w:p>
        </w:tc>
        <w:tc>
          <w:tcPr>
            <w:tcW w:w="4228" w:type="dxa"/>
            <w:gridSpan w:val="2"/>
            <w:tcBorders>
              <w:tl2br w:val="nil"/>
              <w:tr2bl w:val="nil"/>
            </w:tcBorders>
            <w:noWrap w:val="0"/>
            <w:vAlign w:val="center"/>
          </w:tcPr>
          <w:p w14:paraId="0C538477">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指标值</w:t>
            </w:r>
          </w:p>
        </w:tc>
      </w:tr>
      <w:tr w14:paraId="5090E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10E68E91">
            <w:pPr>
              <w:jc w:val="center"/>
              <w:rPr>
                <w:rFonts w:hint="eastAsia" w:ascii="仿宋" w:hAnsi="仿宋" w:eastAsia="仿宋" w:cs="仿宋"/>
                <w:color w:val="000000"/>
                <w:sz w:val="20"/>
                <w:highlight w:val="none"/>
              </w:rPr>
            </w:pPr>
          </w:p>
        </w:tc>
        <w:tc>
          <w:tcPr>
            <w:tcW w:w="723" w:type="dxa"/>
            <w:vMerge w:val="restart"/>
            <w:tcBorders>
              <w:tl2br w:val="nil"/>
              <w:tr2bl w:val="nil"/>
            </w:tcBorders>
            <w:noWrap w:val="0"/>
            <w:vAlign w:val="center"/>
          </w:tcPr>
          <w:p w14:paraId="150A81EE">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产出指标</w:t>
            </w:r>
          </w:p>
        </w:tc>
        <w:tc>
          <w:tcPr>
            <w:tcW w:w="759" w:type="dxa"/>
            <w:gridSpan w:val="2"/>
            <w:vMerge w:val="restart"/>
            <w:tcBorders>
              <w:tl2br w:val="nil"/>
              <w:tr2bl w:val="nil"/>
            </w:tcBorders>
            <w:noWrap w:val="0"/>
            <w:vAlign w:val="center"/>
          </w:tcPr>
          <w:p w14:paraId="2963F57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数量指标</w:t>
            </w:r>
          </w:p>
        </w:tc>
        <w:tc>
          <w:tcPr>
            <w:tcW w:w="2872" w:type="dxa"/>
            <w:tcBorders>
              <w:tl2br w:val="nil"/>
              <w:tr2bl w:val="nil"/>
            </w:tcBorders>
            <w:noWrap w:val="0"/>
            <w:vAlign w:val="center"/>
          </w:tcPr>
          <w:p w14:paraId="516B7B9B">
            <w:pPr>
              <w:keepNext w:val="0"/>
              <w:keepLines w:val="0"/>
              <w:widowControl/>
              <w:suppressLineNumbers w:val="0"/>
              <w:jc w:val="left"/>
              <w:textAlignment w:val="center"/>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做好两座大型泵站安全生产管理，开展专项检查和应急演练工作</w:t>
            </w:r>
          </w:p>
        </w:tc>
        <w:tc>
          <w:tcPr>
            <w:tcW w:w="4228" w:type="dxa"/>
            <w:gridSpan w:val="2"/>
            <w:tcBorders>
              <w:tl2br w:val="nil"/>
              <w:tr2bl w:val="nil"/>
            </w:tcBorders>
            <w:noWrap w:val="0"/>
            <w:vAlign w:val="center"/>
          </w:tcPr>
          <w:p w14:paraId="4C7F85BB">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2座</w:t>
            </w:r>
          </w:p>
        </w:tc>
      </w:tr>
      <w:tr w14:paraId="3ED59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74177D0D">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0014BD11">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148CFB9E">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02CE5CC8">
            <w:pPr>
              <w:keepNext w:val="0"/>
              <w:keepLines w:val="0"/>
              <w:widowControl/>
              <w:suppressLineNumbers w:val="0"/>
              <w:jc w:val="left"/>
              <w:textAlignment w:val="center"/>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开展全市大中型泵站汛灌前检查，做好防汛排涝工作</w:t>
            </w:r>
          </w:p>
        </w:tc>
        <w:tc>
          <w:tcPr>
            <w:tcW w:w="4228" w:type="dxa"/>
            <w:gridSpan w:val="2"/>
            <w:tcBorders>
              <w:tl2br w:val="nil"/>
              <w:tr2bl w:val="nil"/>
            </w:tcBorders>
            <w:noWrap w:val="0"/>
            <w:vAlign w:val="center"/>
          </w:tcPr>
          <w:p w14:paraId="6678F3BD">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1次</w:t>
            </w:r>
          </w:p>
        </w:tc>
      </w:tr>
      <w:tr w14:paraId="49DDB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216CC317">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086285F7">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2547F30D">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4B3C0107">
            <w:pPr>
              <w:keepNext w:val="0"/>
              <w:keepLines w:val="0"/>
              <w:widowControl/>
              <w:suppressLineNumbers w:val="0"/>
              <w:jc w:val="left"/>
              <w:textAlignment w:val="center"/>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做好文明创建工作，编制文明建立台账</w:t>
            </w:r>
          </w:p>
        </w:tc>
        <w:tc>
          <w:tcPr>
            <w:tcW w:w="4228" w:type="dxa"/>
            <w:gridSpan w:val="2"/>
            <w:tcBorders>
              <w:tl2br w:val="nil"/>
              <w:tr2bl w:val="nil"/>
            </w:tcBorders>
            <w:noWrap w:val="0"/>
            <w:vAlign w:val="center"/>
          </w:tcPr>
          <w:p w14:paraId="44213ED9">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1套</w:t>
            </w:r>
          </w:p>
        </w:tc>
      </w:tr>
      <w:tr w14:paraId="2344F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581CBB61">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49ABA6B8">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610AB293">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42562D35">
            <w:pPr>
              <w:keepNext w:val="0"/>
              <w:keepLines w:val="0"/>
              <w:widowControl/>
              <w:suppressLineNumbers w:val="0"/>
              <w:jc w:val="left"/>
              <w:textAlignment w:val="center"/>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开展两座大型泵站的标准化规范化管理达标工作，编制运行管理台账</w:t>
            </w:r>
          </w:p>
        </w:tc>
        <w:tc>
          <w:tcPr>
            <w:tcW w:w="4228" w:type="dxa"/>
            <w:gridSpan w:val="2"/>
            <w:tcBorders>
              <w:tl2br w:val="nil"/>
              <w:tr2bl w:val="nil"/>
            </w:tcBorders>
            <w:noWrap w:val="0"/>
            <w:vAlign w:val="center"/>
          </w:tcPr>
          <w:p w14:paraId="62C2DBAB">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2座</w:t>
            </w:r>
          </w:p>
        </w:tc>
      </w:tr>
      <w:tr w14:paraId="0E74B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10069570">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07C4540B">
            <w:pPr>
              <w:jc w:val="center"/>
              <w:rPr>
                <w:rFonts w:hint="eastAsia" w:ascii="仿宋" w:hAnsi="仿宋" w:eastAsia="仿宋" w:cs="仿宋"/>
                <w:color w:val="000000"/>
                <w:sz w:val="20"/>
                <w:highlight w:val="none"/>
              </w:rPr>
            </w:pPr>
          </w:p>
        </w:tc>
        <w:tc>
          <w:tcPr>
            <w:tcW w:w="759" w:type="dxa"/>
            <w:gridSpan w:val="2"/>
            <w:vMerge w:val="continue"/>
            <w:tcBorders>
              <w:tl2br w:val="nil"/>
              <w:tr2bl w:val="nil"/>
            </w:tcBorders>
            <w:noWrap w:val="0"/>
            <w:vAlign w:val="center"/>
          </w:tcPr>
          <w:p w14:paraId="03B36A86">
            <w:pPr>
              <w:jc w:val="center"/>
              <w:rPr>
                <w:rFonts w:hint="eastAsia" w:ascii="仿宋" w:hAnsi="仿宋" w:eastAsia="仿宋" w:cs="仿宋"/>
                <w:color w:val="000000"/>
                <w:sz w:val="20"/>
                <w:highlight w:val="none"/>
              </w:rPr>
            </w:pPr>
          </w:p>
        </w:tc>
        <w:tc>
          <w:tcPr>
            <w:tcW w:w="2872" w:type="dxa"/>
            <w:tcBorders>
              <w:tl2br w:val="nil"/>
              <w:tr2bl w:val="nil"/>
            </w:tcBorders>
            <w:noWrap w:val="0"/>
            <w:vAlign w:val="center"/>
          </w:tcPr>
          <w:p w14:paraId="6269C02E">
            <w:pPr>
              <w:keepNext w:val="0"/>
              <w:keepLines w:val="0"/>
              <w:widowControl/>
              <w:suppressLineNumbers w:val="0"/>
              <w:jc w:val="left"/>
              <w:textAlignment w:val="center"/>
              <w:rPr>
                <w:rFonts w:hint="eastAsia" w:ascii="仿宋" w:hAnsi="仿宋" w:eastAsia="仿宋" w:cs="仿宋"/>
                <w:i w:val="0"/>
                <w:color w:val="000000"/>
                <w:kern w:val="0"/>
                <w:sz w:val="20"/>
                <w:szCs w:val="20"/>
                <w:highlight w:val="none"/>
                <w:u w:val="none"/>
                <w:lang w:val="en-US" w:eastAsia="zh-CN" w:bidi="ar"/>
              </w:rPr>
            </w:pPr>
            <w:r>
              <w:rPr>
                <w:rFonts w:hint="eastAsia" w:ascii="仿宋" w:hAnsi="仿宋" w:eastAsia="仿宋" w:cs="仿宋"/>
                <w:i w:val="0"/>
                <w:color w:val="000000"/>
                <w:kern w:val="0"/>
                <w:sz w:val="20"/>
                <w:szCs w:val="20"/>
                <w:highlight w:val="none"/>
                <w:u w:val="none"/>
                <w:lang w:val="en-US" w:eastAsia="zh-CN" w:bidi="ar"/>
              </w:rPr>
              <w:t>举办泵站管理培训班一期，培训全市泵站骨干管理人员80人</w:t>
            </w:r>
          </w:p>
        </w:tc>
        <w:tc>
          <w:tcPr>
            <w:tcW w:w="4228" w:type="dxa"/>
            <w:gridSpan w:val="2"/>
            <w:tcBorders>
              <w:tl2br w:val="nil"/>
              <w:tr2bl w:val="nil"/>
            </w:tcBorders>
            <w:noWrap w:val="0"/>
            <w:vAlign w:val="center"/>
          </w:tcPr>
          <w:p w14:paraId="6197364F">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1期</w:t>
            </w:r>
          </w:p>
        </w:tc>
      </w:tr>
      <w:tr w14:paraId="138E0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00FF64E7">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7D81F2EF">
            <w:pPr>
              <w:jc w:val="center"/>
              <w:rPr>
                <w:rFonts w:hint="eastAsia" w:ascii="仿宋" w:hAnsi="仿宋" w:eastAsia="仿宋" w:cs="仿宋"/>
                <w:color w:val="000000"/>
                <w:sz w:val="20"/>
                <w:highlight w:val="none"/>
              </w:rPr>
            </w:pPr>
          </w:p>
        </w:tc>
        <w:tc>
          <w:tcPr>
            <w:tcW w:w="759" w:type="dxa"/>
            <w:gridSpan w:val="2"/>
            <w:tcBorders>
              <w:tl2br w:val="nil"/>
              <w:tr2bl w:val="nil"/>
            </w:tcBorders>
            <w:noWrap w:val="0"/>
            <w:vAlign w:val="center"/>
          </w:tcPr>
          <w:p w14:paraId="3DC24C1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质量指标</w:t>
            </w:r>
          </w:p>
        </w:tc>
        <w:tc>
          <w:tcPr>
            <w:tcW w:w="2872" w:type="dxa"/>
            <w:tcBorders>
              <w:tl2br w:val="nil"/>
              <w:tr2bl w:val="nil"/>
            </w:tcBorders>
            <w:noWrap w:val="0"/>
            <w:vAlign w:val="center"/>
          </w:tcPr>
          <w:p w14:paraId="5926B322">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直管两座大型泵站通过市水利局运行管理年度考核，通过安全生产和消防工作年度考核，达到全省标准化规范化管理泵站要求，全年安全生产无事故；全市大中型泵站完成备汛准备；完成全市泵站骨干管理人员培训；通过年度市级文明单位检查考核。</w:t>
            </w:r>
          </w:p>
        </w:tc>
        <w:tc>
          <w:tcPr>
            <w:tcW w:w="4228" w:type="dxa"/>
            <w:gridSpan w:val="2"/>
            <w:tcBorders>
              <w:tl2br w:val="nil"/>
              <w:tr2bl w:val="nil"/>
            </w:tcBorders>
            <w:noWrap w:val="0"/>
            <w:vAlign w:val="center"/>
          </w:tcPr>
          <w:p w14:paraId="65D1F076">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满意</w:t>
            </w:r>
          </w:p>
        </w:tc>
      </w:tr>
      <w:tr w14:paraId="6327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71580FFE">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687DC905">
            <w:pPr>
              <w:jc w:val="center"/>
              <w:rPr>
                <w:rFonts w:hint="eastAsia" w:ascii="仿宋" w:hAnsi="仿宋" w:eastAsia="仿宋" w:cs="仿宋"/>
                <w:color w:val="000000"/>
                <w:sz w:val="20"/>
                <w:highlight w:val="none"/>
              </w:rPr>
            </w:pPr>
          </w:p>
        </w:tc>
        <w:tc>
          <w:tcPr>
            <w:tcW w:w="759" w:type="dxa"/>
            <w:gridSpan w:val="2"/>
            <w:tcBorders>
              <w:tl2br w:val="nil"/>
              <w:tr2bl w:val="nil"/>
            </w:tcBorders>
            <w:noWrap w:val="0"/>
            <w:vAlign w:val="center"/>
          </w:tcPr>
          <w:p w14:paraId="0588C81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时效指标</w:t>
            </w:r>
          </w:p>
        </w:tc>
        <w:tc>
          <w:tcPr>
            <w:tcW w:w="2872" w:type="dxa"/>
            <w:tcBorders>
              <w:tl2br w:val="nil"/>
              <w:tr2bl w:val="nil"/>
            </w:tcBorders>
            <w:noWrap w:val="0"/>
            <w:vAlign w:val="center"/>
          </w:tcPr>
          <w:p w14:paraId="0969781F">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项目实施时间</w:t>
            </w:r>
          </w:p>
        </w:tc>
        <w:tc>
          <w:tcPr>
            <w:tcW w:w="4228" w:type="dxa"/>
            <w:gridSpan w:val="2"/>
            <w:tcBorders>
              <w:tl2br w:val="nil"/>
              <w:tr2bl w:val="nil"/>
            </w:tcBorders>
            <w:noWrap w:val="0"/>
            <w:vAlign w:val="center"/>
          </w:tcPr>
          <w:p w14:paraId="4C43E5CB">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2026年1—12月</w:t>
            </w:r>
          </w:p>
        </w:tc>
      </w:tr>
      <w:tr w14:paraId="069A7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7062DD2D">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131CE267">
            <w:pPr>
              <w:jc w:val="center"/>
              <w:rPr>
                <w:rFonts w:hint="eastAsia" w:ascii="仿宋" w:hAnsi="仿宋" w:eastAsia="仿宋" w:cs="仿宋"/>
                <w:color w:val="000000"/>
                <w:sz w:val="20"/>
                <w:highlight w:val="none"/>
              </w:rPr>
            </w:pPr>
          </w:p>
        </w:tc>
        <w:tc>
          <w:tcPr>
            <w:tcW w:w="759" w:type="dxa"/>
            <w:gridSpan w:val="2"/>
            <w:tcBorders>
              <w:tl2br w:val="nil"/>
              <w:tr2bl w:val="nil"/>
            </w:tcBorders>
            <w:noWrap w:val="0"/>
            <w:vAlign w:val="center"/>
          </w:tcPr>
          <w:p w14:paraId="4F28035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成本指标</w:t>
            </w:r>
          </w:p>
        </w:tc>
        <w:tc>
          <w:tcPr>
            <w:tcW w:w="2872" w:type="dxa"/>
            <w:tcBorders>
              <w:tl2br w:val="nil"/>
              <w:tr2bl w:val="nil"/>
            </w:tcBorders>
            <w:noWrap w:val="0"/>
            <w:vAlign w:val="center"/>
          </w:tcPr>
          <w:p w14:paraId="573C14B0">
            <w:pPr>
              <w:keepNext w:val="0"/>
              <w:keepLines w:val="0"/>
              <w:widowControl/>
              <w:suppressLineNumbers w:val="0"/>
              <w:jc w:val="left"/>
              <w:textAlignment w:val="center"/>
              <w:rPr>
                <w:rFonts w:hint="eastAsia" w:ascii="仿宋" w:hAnsi="仿宋" w:eastAsia="仿宋" w:cs="仿宋"/>
                <w:color w:val="000000"/>
                <w:sz w:val="20"/>
                <w:highlight w:val="none"/>
                <w:lang w:val="en-US"/>
              </w:rPr>
            </w:pPr>
            <w:r>
              <w:rPr>
                <w:rFonts w:hint="eastAsia" w:ascii="仿宋" w:hAnsi="仿宋" w:eastAsia="仿宋" w:cs="仿宋"/>
                <w:i w:val="0"/>
                <w:color w:val="000000"/>
                <w:kern w:val="0"/>
                <w:sz w:val="20"/>
                <w:szCs w:val="20"/>
                <w:highlight w:val="none"/>
                <w:u w:val="none"/>
                <w:lang w:val="en-US" w:eastAsia="zh-CN" w:bidi="ar"/>
              </w:rPr>
              <w:t>项目资金</w:t>
            </w:r>
          </w:p>
        </w:tc>
        <w:tc>
          <w:tcPr>
            <w:tcW w:w="4228" w:type="dxa"/>
            <w:gridSpan w:val="2"/>
            <w:tcBorders>
              <w:tl2br w:val="nil"/>
              <w:tr2bl w:val="nil"/>
            </w:tcBorders>
            <w:noWrap w:val="0"/>
            <w:vAlign w:val="center"/>
          </w:tcPr>
          <w:p w14:paraId="61C00D31">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18.20万元</w:t>
            </w:r>
          </w:p>
        </w:tc>
      </w:tr>
      <w:tr w14:paraId="7B3CF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0E7DDA05">
            <w:pPr>
              <w:jc w:val="center"/>
              <w:rPr>
                <w:rFonts w:hint="eastAsia" w:ascii="仿宋" w:hAnsi="仿宋" w:eastAsia="仿宋" w:cs="仿宋"/>
                <w:color w:val="000000"/>
                <w:sz w:val="20"/>
                <w:highlight w:val="none"/>
              </w:rPr>
            </w:pPr>
          </w:p>
        </w:tc>
        <w:tc>
          <w:tcPr>
            <w:tcW w:w="723" w:type="dxa"/>
            <w:vMerge w:val="restart"/>
            <w:tcBorders>
              <w:tl2br w:val="nil"/>
              <w:tr2bl w:val="nil"/>
            </w:tcBorders>
            <w:noWrap w:val="0"/>
            <w:vAlign w:val="center"/>
          </w:tcPr>
          <w:p w14:paraId="1B421976">
            <w:pPr>
              <w:keepNext w:val="0"/>
              <w:keepLines w:val="0"/>
              <w:widowControl/>
              <w:suppressLineNumbers w:val="0"/>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效益指标</w:t>
            </w:r>
          </w:p>
        </w:tc>
        <w:tc>
          <w:tcPr>
            <w:tcW w:w="759" w:type="dxa"/>
            <w:gridSpan w:val="2"/>
            <w:tcBorders>
              <w:tl2br w:val="nil"/>
              <w:tr2bl w:val="nil"/>
            </w:tcBorders>
            <w:noWrap w:val="0"/>
            <w:vAlign w:val="center"/>
          </w:tcPr>
          <w:p w14:paraId="00C8D19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经济效益指标</w:t>
            </w:r>
          </w:p>
        </w:tc>
        <w:tc>
          <w:tcPr>
            <w:tcW w:w="2872" w:type="dxa"/>
            <w:tcBorders>
              <w:tl2br w:val="nil"/>
              <w:tr2bl w:val="nil"/>
            </w:tcBorders>
            <w:noWrap w:val="0"/>
            <w:vAlign w:val="center"/>
          </w:tcPr>
          <w:p w14:paraId="1AEA5ABF">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确保两座大型泵站及时开机排涝，保障排涝区域经济社会持续健康发展，农业经济效益达到因及时排涝减少高塘湖周边淹没面积，按每亩耕地减少损失700元计算减少经济损失。确保两座大型泵站安全生产无事故，人财物的可能损失为零。通过培训全市泵站管理人员，发挥他们在泵站管理岗位上的作用，大大提高效率，推进全市泵站管理健康发展。</w:t>
            </w:r>
          </w:p>
        </w:tc>
        <w:tc>
          <w:tcPr>
            <w:tcW w:w="4228" w:type="dxa"/>
            <w:gridSpan w:val="2"/>
            <w:tcBorders>
              <w:tl2br w:val="nil"/>
              <w:tr2bl w:val="nil"/>
            </w:tcBorders>
            <w:noWrap w:val="0"/>
            <w:vAlign w:val="center"/>
          </w:tcPr>
          <w:p w14:paraId="1E1A06D7">
            <w:pPr>
              <w:jc w:val="center"/>
              <w:rPr>
                <w:rFonts w:hint="eastAsia" w:ascii="仿宋" w:hAnsi="仿宋" w:eastAsia="仿宋" w:cs="仿宋"/>
                <w:color w:val="000000"/>
                <w:sz w:val="20"/>
                <w:highlight w:val="none"/>
                <w:lang w:val="en-US" w:eastAsia="zh-CN"/>
              </w:rPr>
            </w:pPr>
            <w:r>
              <w:rPr>
                <w:rFonts w:hint="eastAsia" w:ascii="仿宋" w:hAnsi="仿宋" w:eastAsia="仿宋" w:cs="仿宋"/>
                <w:color w:val="000000"/>
                <w:sz w:val="20"/>
                <w:highlight w:val="none"/>
                <w:lang w:val="en-US" w:eastAsia="zh-CN"/>
              </w:rPr>
              <w:t>满意</w:t>
            </w:r>
          </w:p>
        </w:tc>
      </w:tr>
      <w:tr w14:paraId="6BC31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438" w:type="dxa"/>
            <w:vMerge w:val="continue"/>
            <w:tcBorders>
              <w:tl2br w:val="nil"/>
              <w:tr2bl w:val="nil"/>
            </w:tcBorders>
            <w:noWrap w:val="0"/>
            <w:vAlign w:val="center"/>
          </w:tcPr>
          <w:p w14:paraId="1898A32F">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04D14BFC">
            <w:pPr>
              <w:jc w:val="center"/>
              <w:rPr>
                <w:rFonts w:hint="eastAsia" w:ascii="仿宋" w:hAnsi="仿宋" w:eastAsia="仿宋" w:cs="仿宋"/>
                <w:color w:val="000000"/>
                <w:sz w:val="20"/>
                <w:highlight w:val="none"/>
              </w:rPr>
            </w:pPr>
          </w:p>
        </w:tc>
        <w:tc>
          <w:tcPr>
            <w:tcW w:w="759" w:type="dxa"/>
            <w:gridSpan w:val="2"/>
            <w:tcBorders>
              <w:tl2br w:val="nil"/>
              <w:tr2bl w:val="nil"/>
            </w:tcBorders>
            <w:noWrap w:val="0"/>
            <w:vAlign w:val="center"/>
          </w:tcPr>
          <w:p w14:paraId="1AF57EB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社会效益指标</w:t>
            </w:r>
          </w:p>
        </w:tc>
        <w:tc>
          <w:tcPr>
            <w:tcW w:w="2872" w:type="dxa"/>
            <w:tcBorders>
              <w:tl2br w:val="nil"/>
              <w:tr2bl w:val="nil"/>
            </w:tcBorders>
            <w:noWrap w:val="0"/>
            <w:vAlign w:val="center"/>
          </w:tcPr>
          <w:p w14:paraId="077BCBE1">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确保两座大型泵站安全生产无事故，保持人民群众对大型骨干水利工程的信任度。</w:t>
            </w:r>
          </w:p>
        </w:tc>
        <w:tc>
          <w:tcPr>
            <w:tcW w:w="4228" w:type="dxa"/>
            <w:gridSpan w:val="2"/>
            <w:tcBorders>
              <w:tl2br w:val="nil"/>
              <w:tr2bl w:val="nil"/>
            </w:tcBorders>
            <w:noWrap w:val="0"/>
            <w:vAlign w:val="center"/>
          </w:tcPr>
          <w:p w14:paraId="4CF85201">
            <w:pPr>
              <w:jc w:val="center"/>
              <w:rPr>
                <w:rFonts w:hint="eastAsia" w:ascii="仿宋" w:hAnsi="仿宋" w:eastAsia="仿宋" w:cs="仿宋"/>
                <w:color w:val="000000"/>
                <w:sz w:val="20"/>
                <w:highlight w:val="none"/>
              </w:rPr>
            </w:pPr>
            <w:r>
              <w:rPr>
                <w:rFonts w:hint="eastAsia" w:ascii="仿宋" w:hAnsi="仿宋" w:eastAsia="仿宋" w:cs="仿宋"/>
                <w:color w:val="000000"/>
                <w:sz w:val="20"/>
                <w:highlight w:val="none"/>
                <w:lang w:val="en-US" w:eastAsia="zh-CN"/>
              </w:rPr>
              <w:t>满意</w:t>
            </w:r>
          </w:p>
        </w:tc>
      </w:tr>
      <w:tr w14:paraId="08409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1ADF64C4">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7CE402B1">
            <w:pPr>
              <w:jc w:val="center"/>
              <w:rPr>
                <w:rFonts w:hint="eastAsia" w:ascii="仿宋" w:hAnsi="仿宋" w:eastAsia="仿宋" w:cs="仿宋"/>
                <w:color w:val="000000"/>
                <w:sz w:val="20"/>
                <w:highlight w:val="none"/>
              </w:rPr>
            </w:pPr>
          </w:p>
        </w:tc>
        <w:tc>
          <w:tcPr>
            <w:tcW w:w="759" w:type="dxa"/>
            <w:gridSpan w:val="2"/>
            <w:tcBorders>
              <w:tl2br w:val="nil"/>
              <w:tr2bl w:val="nil"/>
            </w:tcBorders>
            <w:noWrap w:val="0"/>
            <w:vAlign w:val="center"/>
          </w:tcPr>
          <w:p w14:paraId="1BD7B20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生态效益指标</w:t>
            </w:r>
          </w:p>
        </w:tc>
        <w:tc>
          <w:tcPr>
            <w:tcW w:w="2872" w:type="dxa"/>
            <w:tcBorders>
              <w:tl2br w:val="nil"/>
              <w:tr2bl w:val="nil"/>
            </w:tcBorders>
            <w:noWrap w:val="0"/>
            <w:vAlign w:val="center"/>
          </w:tcPr>
          <w:p w14:paraId="6F337391">
            <w:pPr>
              <w:keepNext w:val="0"/>
              <w:keepLines w:val="0"/>
              <w:widowControl/>
              <w:suppressLineNumbers w:val="0"/>
              <w:jc w:val="left"/>
              <w:textAlignment w:val="center"/>
              <w:rPr>
                <w:rFonts w:hint="eastAsia" w:ascii="仿宋" w:hAnsi="仿宋" w:eastAsia="仿宋" w:cs="仿宋"/>
                <w:color w:val="000000"/>
                <w:sz w:val="20"/>
                <w:highlight w:val="none"/>
              </w:rPr>
            </w:pPr>
            <w:r>
              <w:rPr>
                <w:rFonts w:hint="eastAsia" w:ascii="仿宋" w:hAnsi="仿宋" w:eastAsia="仿宋" w:cs="仿宋"/>
                <w:i w:val="0"/>
                <w:color w:val="000000"/>
                <w:kern w:val="0"/>
                <w:sz w:val="20"/>
                <w:szCs w:val="20"/>
                <w:highlight w:val="none"/>
                <w:u w:val="none"/>
                <w:lang w:val="en-US" w:eastAsia="zh-CN" w:bidi="ar"/>
              </w:rPr>
              <w:t>确保直管大型泵站排涝效益区内生态状况良好</w:t>
            </w:r>
          </w:p>
        </w:tc>
        <w:tc>
          <w:tcPr>
            <w:tcW w:w="4228" w:type="dxa"/>
            <w:gridSpan w:val="2"/>
            <w:tcBorders>
              <w:tl2br w:val="nil"/>
              <w:tr2bl w:val="nil"/>
            </w:tcBorders>
            <w:noWrap w:val="0"/>
            <w:vAlign w:val="center"/>
          </w:tcPr>
          <w:p w14:paraId="5B2CE003">
            <w:pPr>
              <w:jc w:val="center"/>
              <w:rPr>
                <w:rFonts w:hint="eastAsia" w:ascii="仿宋" w:hAnsi="仿宋" w:eastAsia="仿宋" w:cs="仿宋"/>
                <w:color w:val="000000"/>
                <w:sz w:val="20"/>
                <w:highlight w:val="none"/>
              </w:rPr>
            </w:pPr>
            <w:r>
              <w:rPr>
                <w:rFonts w:hint="eastAsia" w:ascii="仿宋" w:hAnsi="仿宋" w:eastAsia="仿宋" w:cs="仿宋"/>
                <w:color w:val="000000"/>
                <w:sz w:val="20"/>
                <w:highlight w:val="none"/>
                <w:lang w:val="en-US" w:eastAsia="zh-CN"/>
              </w:rPr>
              <w:t>满意</w:t>
            </w:r>
          </w:p>
        </w:tc>
      </w:tr>
      <w:tr w14:paraId="45E09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38" w:type="dxa"/>
            <w:vMerge w:val="continue"/>
            <w:tcBorders>
              <w:tl2br w:val="nil"/>
              <w:tr2bl w:val="nil"/>
            </w:tcBorders>
            <w:noWrap w:val="0"/>
            <w:vAlign w:val="center"/>
          </w:tcPr>
          <w:p w14:paraId="0A41C3AB">
            <w:pPr>
              <w:jc w:val="center"/>
              <w:rPr>
                <w:rFonts w:hint="eastAsia" w:ascii="仿宋" w:hAnsi="仿宋" w:eastAsia="仿宋" w:cs="仿宋"/>
                <w:color w:val="000000"/>
                <w:sz w:val="20"/>
                <w:highlight w:val="none"/>
              </w:rPr>
            </w:pPr>
          </w:p>
        </w:tc>
        <w:tc>
          <w:tcPr>
            <w:tcW w:w="723" w:type="dxa"/>
            <w:vMerge w:val="continue"/>
            <w:tcBorders>
              <w:tl2br w:val="nil"/>
              <w:tr2bl w:val="nil"/>
            </w:tcBorders>
            <w:noWrap w:val="0"/>
            <w:vAlign w:val="center"/>
          </w:tcPr>
          <w:p w14:paraId="79955100">
            <w:pPr>
              <w:jc w:val="center"/>
              <w:rPr>
                <w:rFonts w:hint="eastAsia" w:ascii="仿宋" w:hAnsi="仿宋" w:eastAsia="仿宋" w:cs="仿宋"/>
                <w:color w:val="000000"/>
                <w:sz w:val="20"/>
                <w:highlight w:val="none"/>
              </w:rPr>
            </w:pPr>
          </w:p>
        </w:tc>
        <w:tc>
          <w:tcPr>
            <w:tcW w:w="759" w:type="dxa"/>
            <w:gridSpan w:val="2"/>
            <w:tcBorders>
              <w:tl2br w:val="nil"/>
              <w:tr2bl w:val="nil"/>
            </w:tcBorders>
            <w:noWrap w:val="0"/>
            <w:vAlign w:val="center"/>
          </w:tcPr>
          <w:p w14:paraId="08C631F7">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rPr>
            </w:pPr>
            <w:r>
              <w:rPr>
                <w:rFonts w:hint="eastAsia" w:ascii="仿宋" w:hAnsi="仿宋" w:eastAsia="仿宋" w:cs="仿宋"/>
                <w:color w:val="000000"/>
                <w:sz w:val="20"/>
                <w:highlight w:val="none"/>
              </w:rPr>
              <w:t>可持续影响指标</w:t>
            </w:r>
          </w:p>
        </w:tc>
        <w:tc>
          <w:tcPr>
            <w:tcW w:w="2872" w:type="dxa"/>
            <w:tcBorders>
              <w:tl2br w:val="nil"/>
              <w:tr2bl w:val="nil"/>
            </w:tcBorders>
            <w:noWrap w:val="0"/>
            <w:vAlign w:val="center"/>
          </w:tcPr>
          <w:p w14:paraId="26C3F008">
            <w:pPr>
              <w:keepNext w:val="0"/>
              <w:keepLines w:val="0"/>
              <w:widowControl/>
              <w:suppressLineNumbers w:val="0"/>
              <w:jc w:val="left"/>
              <w:textAlignment w:val="center"/>
              <w:rPr>
                <w:rFonts w:hint="eastAsia" w:ascii="仿宋" w:hAnsi="仿宋" w:eastAsia="仿宋" w:cs="仿宋"/>
                <w:color w:val="000000"/>
                <w:kern w:val="2"/>
                <w:sz w:val="20"/>
                <w:highlight w:val="none"/>
                <w:lang w:val="en-US" w:eastAsia="zh-CN" w:bidi="ar-SA"/>
              </w:rPr>
            </w:pPr>
            <w:r>
              <w:rPr>
                <w:rFonts w:hint="eastAsia" w:ascii="仿宋" w:hAnsi="仿宋" w:eastAsia="仿宋" w:cs="仿宋"/>
                <w:i w:val="0"/>
                <w:color w:val="000000"/>
                <w:kern w:val="0"/>
                <w:sz w:val="20"/>
                <w:szCs w:val="20"/>
                <w:highlight w:val="none"/>
                <w:u w:val="none"/>
                <w:lang w:val="en-US" w:eastAsia="zh-CN" w:bidi="ar"/>
              </w:rPr>
              <w:t>确保“十四五”期间直管大型泵站排涝效益区内防洪安全，社会经济可持续健康发展。</w:t>
            </w:r>
          </w:p>
        </w:tc>
        <w:tc>
          <w:tcPr>
            <w:tcW w:w="4228" w:type="dxa"/>
            <w:gridSpan w:val="2"/>
            <w:tcBorders>
              <w:tl2br w:val="nil"/>
              <w:tr2bl w:val="nil"/>
            </w:tcBorders>
            <w:noWrap w:val="0"/>
            <w:vAlign w:val="center"/>
          </w:tcPr>
          <w:p w14:paraId="4F29D1E6">
            <w:pPr>
              <w:jc w:val="center"/>
              <w:rPr>
                <w:rFonts w:hint="eastAsia" w:ascii="仿宋" w:hAnsi="仿宋" w:eastAsia="仿宋" w:cs="仿宋"/>
                <w:color w:val="000000"/>
                <w:sz w:val="20"/>
                <w:highlight w:val="none"/>
              </w:rPr>
            </w:pPr>
            <w:r>
              <w:rPr>
                <w:rFonts w:hint="eastAsia" w:ascii="仿宋" w:hAnsi="仿宋" w:eastAsia="仿宋" w:cs="仿宋"/>
                <w:color w:val="000000"/>
                <w:sz w:val="20"/>
                <w:highlight w:val="none"/>
                <w:lang w:val="en-US" w:eastAsia="zh-CN"/>
              </w:rPr>
              <w:t>满意</w:t>
            </w:r>
          </w:p>
        </w:tc>
      </w:tr>
      <w:tr w14:paraId="2055B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438" w:type="dxa"/>
            <w:vMerge w:val="continue"/>
            <w:tcBorders>
              <w:tl2br w:val="nil"/>
              <w:tr2bl w:val="nil"/>
            </w:tcBorders>
            <w:noWrap w:val="0"/>
            <w:vAlign w:val="center"/>
          </w:tcPr>
          <w:p w14:paraId="5AC1892E">
            <w:pPr>
              <w:jc w:val="center"/>
              <w:rPr>
                <w:rFonts w:hint="eastAsia" w:ascii="仿宋" w:hAnsi="仿宋" w:eastAsia="仿宋" w:cs="仿宋"/>
                <w:color w:val="000000"/>
                <w:sz w:val="20"/>
                <w:highlight w:val="none"/>
              </w:rPr>
            </w:pPr>
          </w:p>
        </w:tc>
        <w:tc>
          <w:tcPr>
            <w:tcW w:w="723" w:type="dxa"/>
            <w:tcBorders>
              <w:tl2br w:val="nil"/>
              <w:tr2bl w:val="nil"/>
            </w:tcBorders>
            <w:noWrap w:val="0"/>
            <w:vAlign w:val="center"/>
          </w:tcPr>
          <w:p w14:paraId="34BB2BF8">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满意度指标</w:t>
            </w:r>
          </w:p>
        </w:tc>
        <w:tc>
          <w:tcPr>
            <w:tcW w:w="759" w:type="dxa"/>
            <w:gridSpan w:val="2"/>
            <w:tcBorders>
              <w:tl2br w:val="nil"/>
              <w:tr2bl w:val="nil"/>
            </w:tcBorders>
            <w:noWrap w:val="0"/>
            <w:vAlign w:val="center"/>
          </w:tcPr>
          <w:p w14:paraId="66AF3E23">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 w:hAnsi="仿宋" w:eastAsia="仿宋" w:cs="仿宋"/>
                <w:color w:val="000000"/>
                <w:sz w:val="20"/>
                <w:highlight w:val="none"/>
                <w:lang w:eastAsia="zh-CN"/>
              </w:rPr>
            </w:pPr>
            <w:r>
              <w:rPr>
                <w:rFonts w:hint="eastAsia" w:ascii="仿宋" w:hAnsi="仿宋" w:eastAsia="仿宋" w:cs="仿宋"/>
                <w:color w:val="000000"/>
                <w:sz w:val="20"/>
                <w:highlight w:val="none"/>
                <w:lang w:eastAsia="zh-CN"/>
              </w:rPr>
              <w:t>满意度指标</w:t>
            </w:r>
          </w:p>
        </w:tc>
        <w:tc>
          <w:tcPr>
            <w:tcW w:w="2872" w:type="dxa"/>
            <w:tcBorders>
              <w:tl2br w:val="nil"/>
              <w:tr2bl w:val="nil"/>
            </w:tcBorders>
            <w:noWrap w:val="0"/>
            <w:vAlign w:val="center"/>
          </w:tcPr>
          <w:p w14:paraId="1FA9AC4C">
            <w:pPr>
              <w:keepNext w:val="0"/>
              <w:keepLines w:val="0"/>
              <w:widowControl/>
              <w:suppressLineNumbers w:val="0"/>
              <w:jc w:val="left"/>
              <w:textAlignment w:val="center"/>
              <w:rPr>
                <w:rFonts w:hint="eastAsia" w:ascii="仿宋" w:hAnsi="仿宋" w:eastAsia="仿宋" w:cs="仿宋"/>
                <w:color w:val="000000"/>
                <w:kern w:val="2"/>
                <w:sz w:val="20"/>
                <w:highlight w:val="none"/>
                <w:lang w:val="en-US" w:eastAsia="zh-CN" w:bidi="ar-SA"/>
              </w:rPr>
            </w:pPr>
            <w:r>
              <w:rPr>
                <w:rFonts w:hint="eastAsia" w:ascii="仿宋" w:hAnsi="仿宋" w:eastAsia="仿宋" w:cs="仿宋"/>
                <w:i w:val="0"/>
                <w:color w:val="000000"/>
                <w:kern w:val="0"/>
                <w:sz w:val="20"/>
                <w:szCs w:val="20"/>
                <w:highlight w:val="none"/>
                <w:u w:val="none"/>
                <w:lang w:val="en-US" w:eastAsia="zh-CN" w:bidi="ar"/>
              </w:rPr>
              <w:t>排涝区域内的乡镇区人民政府满意，群众满意。</w:t>
            </w:r>
          </w:p>
        </w:tc>
        <w:tc>
          <w:tcPr>
            <w:tcW w:w="4228" w:type="dxa"/>
            <w:gridSpan w:val="2"/>
            <w:tcBorders>
              <w:tl2br w:val="nil"/>
              <w:tr2bl w:val="nil"/>
            </w:tcBorders>
            <w:noWrap w:val="0"/>
            <w:vAlign w:val="center"/>
          </w:tcPr>
          <w:p w14:paraId="15E5A973">
            <w:pPr>
              <w:jc w:val="center"/>
              <w:rPr>
                <w:rFonts w:hint="eastAsia" w:ascii="仿宋" w:hAnsi="仿宋" w:eastAsia="仿宋" w:cs="仿宋"/>
                <w:color w:val="000000"/>
                <w:sz w:val="20"/>
                <w:highlight w:val="none"/>
              </w:rPr>
            </w:pPr>
            <w:r>
              <w:rPr>
                <w:rFonts w:hint="eastAsia" w:ascii="仿宋" w:hAnsi="仿宋" w:eastAsia="仿宋" w:cs="仿宋"/>
                <w:color w:val="000000"/>
                <w:sz w:val="20"/>
                <w:highlight w:val="none"/>
                <w:lang w:val="en-US" w:eastAsia="zh-CN"/>
              </w:rPr>
              <w:t>满意</w:t>
            </w:r>
          </w:p>
        </w:tc>
      </w:tr>
    </w:tbl>
    <w:p w14:paraId="13A516F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9D76C1"/>
    <w:rsid w:val="02694B80"/>
    <w:rsid w:val="069D76C1"/>
    <w:rsid w:val="0D612203"/>
    <w:rsid w:val="245A142B"/>
    <w:rsid w:val="3CD871D7"/>
    <w:rsid w:val="633273A0"/>
    <w:rsid w:val="67B05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e9026b95-4e51-41a0-a635-c8e7dcc48f4f</errorID>
      <errorWord>(</errorWord>
      <group>L1_Format</group>
      <groupName>格式问题</groupName>
      <ability>L2_HalfPunc</ability>
      <abilityName>全半角检查</abilityName>
      <candidateList>
        <item>（</item>
      </candidateList>
      <explain>文本全半角错误。</explain>
      <paraID>25A0DBB3</paraID>
      <start>82</start>
      <end>83</end>
      <status>modified</status>
      <modifiedWord>（</modifiedWord>
      <trackRevisions>false</trackRevisions>
    </reviewItem>
    <reviewItem>
      <errorID>d200823b-189d-4315-a0dd-7e9b821d40d0</errorID>
      <errorWord>[2018]939号</errorWord>
      <group>L1_Knowledge</group>
      <groupName>知识性问题</groupName>
      <ability>L2_Knowledge</ability>
      <abilityName>其他知识</abilityName>
      <candidateList>
        <item>〔2018〕939号</item>
      </candidateList>
      <explain>发文字号格式错误</explain>
      <paraID>25A0DBB3</paraID>
      <start>87</start>
      <end>97</end>
      <status>modified</status>
      <modifiedWord>〔2018〕939号</modifiedWord>
      <trackRevisions>false</trackRevisions>
    </reviewItem>
    <reviewItem>
      <errorID>d63a0a18-5fd1-4c33-bdc8-00308931ca72</errorID>
      <errorWord>)</errorWord>
      <group>L1_Format</group>
      <groupName>格式问题</groupName>
      <ability>L2_HalfPunc</ability>
      <abilityName>全半角检查</abilityName>
      <candidateList>
        <item>）</item>
      </candidateList>
      <explain>文本全半角错误。</explain>
      <paraID>25A0DBB3</paraID>
      <start>97</start>
      <end>98</end>
      <status>modified</status>
      <modifiedWord>）</modifiedWord>
      <trackRevisions>false</trackRevisions>
    </reviewItem>
    <reviewItem>
      <errorID>3dd46523-6889-42af-9372-9e962c802331</errorID>
      <errorWord>创建</errorWord>
      <group>L1_Word</group>
      <groupName>字词问题</groupName>
      <ability>L2_Typo</ability>
      <abilityName>字词错误</abilityName>
      <candidateList>
        <item>建立</item>
      </candidateList>
      <explain>“创建～台账”搭配不当，建议修改为“建立～台账”。</explain>
      <paraID>4B3C0107</paraID>
      <start>13</start>
      <end>15</end>
      <status>modified</status>
      <modifiedWord>建立</modifiedWord>
      <trackRevisions>false</trackRevisions>
    </reviewItem>
    <reviewItem>
      <errorID>36be8f3e-91ba-45b6-a8aa-905bc5e1859f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4C43E5CB</paraID>
      <start>6</start>
      <end>7</end>
      <status>modified</status>
      <modifiedWord>—</modifiedWord>
      <trackRevisions>false</trackRevisions>
    </reviewItem>
    <reviewItem>
      <errorID>243b2210-ddba-40ed-8a2f-7940772b546c</errorID>
      <errorWord>十四五期间</errorWord>
      <group>L1_Political</group>
      <groupName>政治性问题</groupName>
      <ability>L2_Keyword</ability>
      <abilityName>固定表述</abilityName>
      <candidateList>
        <item>“十四五”期间</item>
      </candidateList>
      <explain>注意检查当前固定表述标点是否使用规范。</explain>
      <paraID>26C3F008</paraID>
      <start>2</start>
      <end>9</end>
      <status>modified</status>
      <modifiedWord>“十四五”期间</modifiedWord>
      <trackRevisions>false</trackRevisions>
    </reviewItem>
    <reviewItem>
      <errorID>ebe54945-f2e7-49fd-9bd2-de4480bce5c9</errorID>
      <errorWord>,</errorWord>
      <group>L1_Format</group>
      <groupName>格式问题</groupName>
      <ability>L2_HalfPunc</ability>
      <abilityName>全半角检查</abilityName>
      <candidateList>
        <item>，</item>
      </candidateList>
      <explain>文本全半角错误。</explain>
      <paraID>1FA9AC4C</paraID>
      <start>15</start>
      <end>16</end>
      <status>modified</status>
      <modifiedWord>，</modifiedWord>
      <trackRevisions>false</trackRevisions>
    </reviewItem>
  </reviewItems>
  <config/>
</contractReview>
</file>

<file path=customXml/itemProps1.xml><?xml version="1.0" encoding="utf-8"?>
<ds:datastoreItem xmlns:ds="http://schemas.openxmlformats.org/officeDocument/2006/customXml" ds:itemID="{f330ec92-c02f-4e37-b11a-cfea582c4709}">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1165</Words>
  <Characters>1197</Characters>
  <Lines>0</Lines>
  <Paragraphs>0</Paragraphs>
  <TotalTime>56</TotalTime>
  <ScaleCrop>false</ScaleCrop>
  <LinksUpToDate>false</LinksUpToDate>
  <CharactersWithSpaces>1344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2025-11-17T09:34:00Z</dcterms:created>
  <dc:creator>Janet</dc:creator>
  <cp:lastModifiedBy>花开在掌心</cp:lastModifiedBy>
  <dcterms:modified xsi:type="dcterms:W3CDTF">2025-11-18T03:19:12Z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10D0860EF7A94D63A7552DAD35CA86B8_13</vt:lpwstr>
  </property>
  <property fmtid="{D5CDD505-2E9C-101B-9397-08002B2CF9AE}" pid="4" name="KSOTemplateDocerSaveRecord">
    <vt:lpwstr>eyJoZGlkIjoiZmIyMjMyMWY1MDg5YzhjYmUxZDU5OWQzNmFhOTI1NzgiLCJ1c2VySWQiOiIzNTE1NTY4MTcifQ==</vt:lpwstr>
  </property>
</Properties>
</file>